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3EA4" w14:textId="77777777" w:rsidR="007F423C" w:rsidRPr="00746C5A" w:rsidRDefault="00BC53D4">
      <w:pPr>
        <w:pStyle w:val="Titel1"/>
        <w:rPr>
          <w:sz w:val="32"/>
          <w:szCs w:val="32"/>
          <w:lang w:val="en-GB"/>
        </w:rPr>
      </w:pPr>
      <w:bookmarkStart w:id="0" w:name="_Hlk483496742"/>
      <w:bookmarkStart w:id="1" w:name="_GoBack"/>
      <w:bookmarkEnd w:id="0"/>
      <w:bookmarkEnd w:id="1"/>
      <w:r w:rsidRPr="00746C5A">
        <w:rPr>
          <w:sz w:val="32"/>
          <w:szCs w:val="32"/>
          <w:lang w:val="en-GB"/>
        </w:rPr>
        <w:t>Co-constructing a new framework for evaluating social innovation in marginalised rural areas</w:t>
      </w:r>
    </w:p>
    <w:p w14:paraId="48B25007" w14:textId="5363A804" w:rsidR="007F423C" w:rsidRDefault="00BC53D4" w:rsidP="0009500B">
      <w:pPr>
        <w:autoSpaceDE w:val="0"/>
        <w:autoSpaceDN w:val="0"/>
        <w:adjustRightInd w:val="0"/>
        <w:jc w:val="center"/>
        <w:rPr>
          <w:rFonts w:ascii="Verdana" w:hAnsi="Verdana" w:cstheme="minorHAnsi"/>
          <w:sz w:val="20"/>
          <w:szCs w:val="20"/>
          <w:lang w:val="en-GB"/>
        </w:rPr>
      </w:pPr>
      <w:r w:rsidRPr="00BC53D4">
        <w:rPr>
          <w:rFonts w:ascii="Verdana" w:hAnsi="Verdana" w:cstheme="minorHAnsi"/>
          <w:sz w:val="20"/>
          <w:szCs w:val="20"/>
          <w:lang w:val="en-GB"/>
        </w:rPr>
        <w:t>Laura Secco</w:t>
      </w:r>
      <w:r>
        <w:rPr>
          <w:rStyle w:val="Funotenzeichen"/>
          <w:rFonts w:ascii="Verdana" w:hAnsi="Verdana" w:cstheme="minorHAnsi"/>
          <w:sz w:val="20"/>
          <w:szCs w:val="20"/>
          <w:lang w:val="en-GB"/>
        </w:rPr>
        <w:footnoteReference w:id="1"/>
      </w:r>
      <w:r w:rsidRPr="00BC53D4">
        <w:rPr>
          <w:rFonts w:ascii="Verdana" w:hAnsi="Verdana" w:cstheme="minorHAnsi"/>
          <w:sz w:val="20"/>
          <w:szCs w:val="20"/>
          <w:lang w:val="en-GB"/>
        </w:rPr>
        <w:t>, Elena Pisani</w:t>
      </w:r>
      <w:r>
        <w:rPr>
          <w:vertAlign w:val="superscript"/>
        </w:rPr>
        <w:t>1</w:t>
      </w:r>
      <w:r w:rsidRPr="00BC53D4">
        <w:rPr>
          <w:rFonts w:ascii="Verdana" w:hAnsi="Verdana" w:cstheme="minorHAnsi"/>
          <w:sz w:val="20"/>
          <w:szCs w:val="20"/>
          <w:lang w:val="en-GB"/>
        </w:rPr>
        <w:t>, Catie Burlando</w:t>
      </w:r>
      <w:r>
        <w:rPr>
          <w:rStyle w:val="Funotenzeichen"/>
          <w:rFonts w:ascii="Verdana" w:hAnsi="Verdana" w:cstheme="minorHAnsi"/>
          <w:sz w:val="20"/>
          <w:szCs w:val="20"/>
          <w:lang w:val="en-GB"/>
        </w:rPr>
        <w:footnoteReference w:id="2"/>
      </w:r>
      <w:r w:rsidRPr="00BC53D4">
        <w:rPr>
          <w:rFonts w:ascii="Verdana" w:hAnsi="Verdana" w:cstheme="minorHAnsi"/>
          <w:sz w:val="20"/>
          <w:szCs w:val="20"/>
          <w:lang w:val="en-GB"/>
        </w:rPr>
        <w:t>, Riccardo Da Re</w:t>
      </w:r>
      <w:r>
        <w:rPr>
          <w:rFonts w:ascii="Verdana" w:hAnsi="Verdana" w:cstheme="minorHAnsi"/>
          <w:sz w:val="20"/>
          <w:szCs w:val="20"/>
          <w:vertAlign w:val="superscript"/>
          <w:lang w:val="en-GB"/>
        </w:rPr>
        <w:t>1</w:t>
      </w:r>
      <w:r w:rsidRPr="00BC53D4">
        <w:rPr>
          <w:rFonts w:ascii="Verdana" w:hAnsi="Verdana" w:cstheme="minorHAnsi"/>
          <w:sz w:val="20"/>
          <w:szCs w:val="20"/>
          <w:lang w:val="en-GB"/>
        </w:rPr>
        <w:t>, Tatiana Kluvankova</w:t>
      </w:r>
      <w:r>
        <w:rPr>
          <w:rStyle w:val="Funotenzeichen"/>
          <w:rFonts w:ascii="Verdana" w:hAnsi="Verdana" w:cstheme="minorHAnsi"/>
          <w:sz w:val="20"/>
          <w:szCs w:val="20"/>
          <w:lang w:val="en-GB"/>
        </w:rPr>
        <w:footnoteReference w:id="3"/>
      </w:r>
      <w:r w:rsidRPr="00BC53D4">
        <w:rPr>
          <w:rFonts w:ascii="Verdana" w:hAnsi="Verdana" w:cstheme="minorHAnsi"/>
          <w:sz w:val="20"/>
          <w:szCs w:val="20"/>
          <w:lang w:val="en-GB"/>
        </w:rPr>
        <w:t>, David Miller</w:t>
      </w:r>
      <w:r w:rsidR="00AD2835">
        <w:rPr>
          <w:rFonts w:ascii="Verdana" w:hAnsi="Verdana" w:cstheme="minorHAnsi"/>
          <w:sz w:val="20"/>
          <w:szCs w:val="20"/>
          <w:vertAlign w:val="superscript"/>
          <w:lang w:val="en-GB"/>
        </w:rPr>
        <w:t>4</w:t>
      </w:r>
      <w:r w:rsidR="00993829">
        <w:rPr>
          <w:rFonts w:ascii="Verdana" w:hAnsi="Verdana" w:cstheme="minorHAnsi"/>
          <w:sz w:val="20"/>
          <w:szCs w:val="20"/>
          <w:lang w:val="en-GB"/>
        </w:rPr>
        <w:t>, M</w:t>
      </w:r>
      <w:r w:rsidR="00993829" w:rsidRPr="00BC53D4">
        <w:rPr>
          <w:rFonts w:ascii="Verdana" w:hAnsi="Verdana" w:cstheme="minorHAnsi"/>
          <w:sz w:val="20"/>
          <w:szCs w:val="20"/>
          <w:lang w:val="en-GB"/>
        </w:rPr>
        <w:t>aria Nijnik</w:t>
      </w:r>
    </w:p>
    <w:p w14:paraId="7BB50763" w14:textId="18DBC8AE" w:rsidR="007F423C" w:rsidRPr="00EE1D95" w:rsidRDefault="007F423C">
      <w:pPr>
        <w:pStyle w:val="abstract"/>
      </w:pPr>
      <w:r w:rsidRPr="009477F3">
        <w:rPr>
          <w:i/>
          <w:iCs/>
        </w:rPr>
        <w:t xml:space="preserve">Abstract </w:t>
      </w:r>
      <w:r w:rsidR="00D54350" w:rsidRPr="009477F3">
        <w:rPr>
          <w:i/>
          <w:iCs/>
        </w:rPr>
        <w:t>–</w:t>
      </w:r>
      <w:r w:rsidRPr="009477F3">
        <w:t xml:space="preserve"> </w:t>
      </w:r>
      <w:r w:rsidR="00CF3141" w:rsidRPr="009477F3">
        <w:t>The EU funded H2020 project ‘Social Innovation in Marginalised Rural Areas’ (SIMRA</w:t>
      </w:r>
      <w:r w:rsidR="009477F3" w:rsidRPr="00610D5A">
        <w:t>;</w:t>
      </w:r>
      <w:r w:rsidR="00CF3141" w:rsidRPr="00EE1D95">
        <w:t xml:space="preserve"> www.simra-h2020.eu) has the overall objective of advancing the state-of-the-art in social innovation</w:t>
      </w:r>
      <w:r w:rsidR="005D64FA">
        <w:t xml:space="preserve">. </w:t>
      </w:r>
      <w:r w:rsidR="00697C25" w:rsidRPr="00EE1D95">
        <w:t xml:space="preserve">This paper </w:t>
      </w:r>
      <w:r w:rsidR="009C7E65">
        <w:t xml:space="preserve">outlines the </w:t>
      </w:r>
      <w:r w:rsidR="00697C25" w:rsidRPr="00EE1D95">
        <w:t xml:space="preserve">process for </w:t>
      </w:r>
      <w:r w:rsidR="00DD3975" w:rsidRPr="00EE1D95">
        <w:t>co-</w:t>
      </w:r>
      <w:r w:rsidR="00697C25" w:rsidRPr="00EE1D95">
        <w:t>developing an evaluation framework</w:t>
      </w:r>
      <w:r w:rsidR="009861E9" w:rsidRPr="00EE1D95">
        <w:t xml:space="preserve"> </w:t>
      </w:r>
      <w:r w:rsidR="00697C25" w:rsidRPr="00EE1D95">
        <w:t>with</w:t>
      </w:r>
      <w:r w:rsidR="009861E9" w:rsidRPr="00EE1D95">
        <w:t xml:space="preserve"> </w:t>
      </w:r>
      <w:r w:rsidR="00697C25" w:rsidRPr="00EE1D95">
        <w:t>stakeholders, drawn from across Europe and the Mediterranean area</w:t>
      </w:r>
      <w:r w:rsidR="005D64FA">
        <w:t xml:space="preserve">, </w:t>
      </w:r>
      <w:r w:rsidR="005D64FA" w:rsidRPr="00EE1D95">
        <w:t>in the fields of agriculture, forestry and rural development</w:t>
      </w:r>
      <w:r w:rsidR="00697C25" w:rsidRPr="00EE1D95">
        <w:t>.</w:t>
      </w:r>
      <w:r w:rsidRPr="00EE1D95">
        <w:rPr>
          <w:rStyle w:val="Funotenzeichen"/>
          <w:color w:val="FFFFFF"/>
        </w:rPr>
        <w:footnoteReference w:id="4"/>
      </w:r>
      <w:r w:rsidR="005D64FA">
        <w:t>P</w:t>
      </w:r>
      <w:r w:rsidR="009C7E65">
        <w:t xml:space="preserve">reliminary results show the importance of integrating </w:t>
      </w:r>
      <w:r w:rsidR="009C7E65">
        <w:rPr>
          <w:rFonts w:cstheme="minorHAnsi"/>
        </w:rPr>
        <w:t>process and outcome-oriented evaluations</w:t>
      </w:r>
      <w:r w:rsidR="005D64FA">
        <w:rPr>
          <w:rFonts w:cstheme="minorHAnsi"/>
        </w:rPr>
        <w:t xml:space="preserve">, and implementing </w:t>
      </w:r>
      <w:r w:rsidR="009C7E65">
        <w:rPr>
          <w:rFonts w:cstheme="minorHAnsi"/>
        </w:rPr>
        <w:t xml:space="preserve">participatory </w:t>
      </w:r>
      <w:r w:rsidR="005D64FA">
        <w:rPr>
          <w:rFonts w:cstheme="minorHAnsi"/>
        </w:rPr>
        <w:t xml:space="preserve">approaches in </w:t>
      </w:r>
      <w:r w:rsidR="009C7E65" w:rsidRPr="00EE1D95">
        <w:t>evaluation</w:t>
      </w:r>
      <w:r w:rsidR="005D64FA">
        <w:t xml:space="preserve"> practice. They also</w:t>
      </w:r>
      <w:r w:rsidR="009C7E65">
        <w:t xml:space="preserve"> </w:t>
      </w:r>
      <w:r w:rsidR="005D64FA">
        <w:t xml:space="preserve">raise </w:t>
      </w:r>
      <w:r w:rsidR="009C7E65">
        <w:t xml:space="preserve">critical issues related to the comparability of </w:t>
      </w:r>
      <w:r w:rsidR="009C7E65" w:rsidRPr="00EE1D95">
        <w:t xml:space="preserve">primary </w:t>
      </w:r>
      <w:r w:rsidR="009C7E65">
        <w:t>data</w:t>
      </w:r>
      <w:r w:rsidR="005D64FA">
        <w:t xml:space="preserve"> in diverse regional contexts</w:t>
      </w:r>
      <w:r w:rsidR="009C7E65">
        <w:t xml:space="preserve"> </w:t>
      </w:r>
      <w:r w:rsidR="005D64FA">
        <w:t xml:space="preserve">and </w:t>
      </w:r>
      <w:r w:rsidR="005538D2">
        <w:t xml:space="preserve">highlight </w:t>
      </w:r>
      <w:r w:rsidR="009C7E65">
        <w:t xml:space="preserve">the need for mixed methods approaches </w:t>
      </w:r>
      <w:r w:rsidR="005538D2">
        <w:t>in</w:t>
      </w:r>
      <w:r w:rsidR="005D64FA">
        <w:t xml:space="preserve"> </w:t>
      </w:r>
      <w:r w:rsidR="009C7E65">
        <w:t>evaluation.</w:t>
      </w:r>
    </w:p>
    <w:p w14:paraId="6AE961EA" w14:textId="77777777" w:rsidR="007F423C" w:rsidRPr="00610D5A" w:rsidRDefault="007F423C">
      <w:pPr>
        <w:pStyle w:val="Normaltext"/>
        <w:rPr>
          <w:highlight w:val="yellow"/>
        </w:rPr>
      </w:pPr>
    </w:p>
    <w:p w14:paraId="165E3F14" w14:textId="77777777" w:rsidR="007F423C" w:rsidRPr="00EE1D95" w:rsidRDefault="007F423C">
      <w:pPr>
        <w:pStyle w:val="berschrift11"/>
      </w:pPr>
      <w:bookmarkStart w:id="2" w:name="_Hlk483299191"/>
      <w:r w:rsidRPr="00EE1D95">
        <w:t>Introduction</w:t>
      </w:r>
      <w:bookmarkEnd w:id="2"/>
      <w:r w:rsidR="00D7446A" w:rsidRPr="00EE1D95">
        <w:t xml:space="preserve"> </w:t>
      </w:r>
    </w:p>
    <w:p w14:paraId="7B91CE4B" w14:textId="48759A57" w:rsidR="00513493" w:rsidRDefault="009477F3" w:rsidP="0098653C">
      <w:pPr>
        <w:pStyle w:val="Normaltext"/>
      </w:pPr>
      <w:r w:rsidRPr="00610D5A">
        <w:t>D</w:t>
      </w:r>
      <w:r w:rsidR="00697C25" w:rsidRPr="00EE1D95">
        <w:t xml:space="preserve">efinitions and interpretations </w:t>
      </w:r>
      <w:r w:rsidRPr="00610D5A">
        <w:t xml:space="preserve">of </w:t>
      </w:r>
      <w:r w:rsidR="00E86DDE" w:rsidRPr="00EE1D95">
        <w:t xml:space="preserve">the meaning of social innovation </w:t>
      </w:r>
      <w:r w:rsidR="004B3006" w:rsidRPr="00EE1D95">
        <w:t xml:space="preserve">and its breadth of implementation are </w:t>
      </w:r>
      <w:r w:rsidRPr="00610D5A">
        <w:t>emerging</w:t>
      </w:r>
      <w:r w:rsidR="004B3006" w:rsidRPr="00EE1D95">
        <w:t xml:space="preserve"> </w:t>
      </w:r>
      <w:r w:rsidR="009861E9" w:rsidRPr="00EE1D95">
        <w:t>(</w:t>
      </w:r>
      <w:r w:rsidRPr="00610D5A">
        <w:t xml:space="preserve">e.g. </w:t>
      </w:r>
      <w:proofErr w:type="spellStart"/>
      <w:r w:rsidR="009861E9" w:rsidRPr="00EE1D95">
        <w:t>Mulgan</w:t>
      </w:r>
      <w:proofErr w:type="spellEnd"/>
      <w:r w:rsidR="009861E9" w:rsidRPr="00EE1D95">
        <w:t>, 2007; BEPA, 2011;</w:t>
      </w:r>
      <w:r w:rsidR="00096714" w:rsidRPr="00EE1D95">
        <w:t xml:space="preserve"> </w:t>
      </w:r>
      <w:proofErr w:type="spellStart"/>
      <w:r w:rsidR="00096714" w:rsidRPr="00EE1D95">
        <w:t>Moulaert</w:t>
      </w:r>
      <w:proofErr w:type="spellEnd"/>
      <w:r w:rsidR="00096714" w:rsidRPr="00EE1D95">
        <w:t xml:space="preserve"> et al., 2013;</w:t>
      </w:r>
      <w:r w:rsidR="009861E9" w:rsidRPr="00EE1D95">
        <w:t xml:space="preserve"> </w:t>
      </w:r>
      <w:r w:rsidR="00096714" w:rsidRPr="00EE1D95">
        <w:t xml:space="preserve">Anderson et al., 2014; </w:t>
      </w:r>
      <w:proofErr w:type="spellStart"/>
      <w:r w:rsidR="009861E9" w:rsidRPr="00EE1D95">
        <w:t>Cajaiba</w:t>
      </w:r>
      <w:proofErr w:type="spellEnd"/>
      <w:r w:rsidR="009861E9" w:rsidRPr="00EE1D95">
        <w:t>-Santana, 2014; Neumeier, 2017)</w:t>
      </w:r>
      <w:r w:rsidRPr="00610D5A">
        <w:t>.</w:t>
      </w:r>
      <w:r w:rsidR="00697C25" w:rsidRPr="00EE1D95">
        <w:t xml:space="preserve"> </w:t>
      </w:r>
      <w:r w:rsidRPr="00610D5A">
        <w:t>T</w:t>
      </w:r>
      <w:r w:rsidR="00E86DDE" w:rsidRPr="00EE1D95">
        <w:t>he SIMRA consortium define</w:t>
      </w:r>
      <w:r w:rsidR="00DC3A39" w:rsidRPr="00EE1D95">
        <w:t>s</w:t>
      </w:r>
      <w:r w:rsidR="00E86DDE" w:rsidRPr="00EE1D95">
        <w:t xml:space="preserve"> </w:t>
      </w:r>
      <w:r w:rsidR="00697C25" w:rsidRPr="00EE1D95">
        <w:t>social innovation as:</w:t>
      </w:r>
      <w:r w:rsidR="002B4DB4" w:rsidRPr="00EE1D95">
        <w:t xml:space="preserve"> “The reconfiguring of social practices in response to societal challenges which seek to enhance the outcomes on well-being and necessarily include the engagement of civil society actors”</w:t>
      </w:r>
      <w:r w:rsidR="00096714" w:rsidRPr="00EE1D95">
        <w:t xml:space="preserve"> (</w:t>
      </w:r>
      <w:proofErr w:type="spellStart"/>
      <w:r w:rsidR="005957CE">
        <w:t>Polman</w:t>
      </w:r>
      <w:proofErr w:type="spellEnd"/>
      <w:r w:rsidR="005957CE">
        <w:t xml:space="preserve"> et al., 2017</w:t>
      </w:r>
      <w:r w:rsidR="00096714" w:rsidRPr="00EE1D95">
        <w:t>)</w:t>
      </w:r>
      <w:r w:rsidR="00E86DDE" w:rsidRPr="00EE1D95">
        <w:t>.</w:t>
      </w:r>
      <w:r w:rsidR="00096714" w:rsidRPr="00EE1D95">
        <w:t xml:space="preserve"> </w:t>
      </w:r>
      <w:r w:rsidR="00E860C5">
        <w:t xml:space="preserve">Based on this definition, this paper addresses the process for </w:t>
      </w:r>
      <w:proofErr w:type="spellStart"/>
      <w:r w:rsidR="00096714" w:rsidRPr="00EE1D95">
        <w:t>for</w:t>
      </w:r>
      <w:proofErr w:type="spellEnd"/>
      <w:r w:rsidR="00096714" w:rsidRPr="00EE1D95">
        <w:t xml:space="preserve"> evaluating social innovation and its impacts</w:t>
      </w:r>
      <w:r w:rsidR="00513493" w:rsidRPr="00610D5A">
        <w:t xml:space="preserve"> </w:t>
      </w:r>
      <w:r w:rsidR="00096714" w:rsidRPr="00EE1D95">
        <w:t xml:space="preserve">in marginalised rural areas. </w:t>
      </w:r>
      <w:r w:rsidR="009861E9" w:rsidRPr="00EE1D95">
        <w:t xml:space="preserve"> </w:t>
      </w:r>
    </w:p>
    <w:p w14:paraId="65D353D2" w14:textId="77777777" w:rsidR="00513493" w:rsidRDefault="00513493" w:rsidP="0098653C">
      <w:pPr>
        <w:pStyle w:val="Normaltext"/>
      </w:pPr>
    </w:p>
    <w:p w14:paraId="67E5E91B" w14:textId="49BFAAFD" w:rsidR="00DC77E0" w:rsidRPr="00EE1D95" w:rsidRDefault="00096714" w:rsidP="0098653C">
      <w:pPr>
        <w:pStyle w:val="Normaltext"/>
      </w:pPr>
      <w:r w:rsidRPr="00EE1D95">
        <w:t xml:space="preserve">SIMRA </w:t>
      </w:r>
      <w:r w:rsidR="00DC77E0" w:rsidRPr="00EE1D95">
        <w:t xml:space="preserve">convened </w:t>
      </w:r>
      <w:r w:rsidR="00513493" w:rsidRPr="00610D5A">
        <w:t xml:space="preserve">a </w:t>
      </w:r>
      <w:r w:rsidR="00E86DDE" w:rsidRPr="00EE1D95">
        <w:t xml:space="preserve">Social Innovation Think Tank (SITT), comprising </w:t>
      </w:r>
      <w:r w:rsidR="00513493" w:rsidRPr="00610D5A">
        <w:t xml:space="preserve">approximately 30 </w:t>
      </w:r>
      <w:r w:rsidR="00E86DDE" w:rsidRPr="00EE1D95">
        <w:t>stakeholders</w:t>
      </w:r>
      <w:r w:rsidR="00696D71" w:rsidRPr="00EE1D95">
        <w:t xml:space="preserve"> (practitioners, scientists and evaluators),</w:t>
      </w:r>
      <w:r w:rsidR="00E86DDE" w:rsidRPr="00EE1D95">
        <w:t xml:space="preserve"> in the fields of agriculture, forestry and rural development</w:t>
      </w:r>
      <w:r w:rsidR="00513493" w:rsidRPr="00610D5A">
        <w:t xml:space="preserve">. They are </w:t>
      </w:r>
      <w:r w:rsidR="00E86DDE" w:rsidRPr="00EE1D95">
        <w:t>drawn from Europe and the Mediterranean area</w:t>
      </w:r>
      <w:r w:rsidR="00E55FA3">
        <w:t>,</w:t>
      </w:r>
      <w:r w:rsidR="00DC77E0" w:rsidRPr="00EE1D95">
        <w:t xml:space="preserve"> to </w:t>
      </w:r>
      <w:r w:rsidR="00082B9D" w:rsidRPr="00EE1D95">
        <w:t>co-develop the</w:t>
      </w:r>
      <w:r w:rsidR="00DC77E0" w:rsidRPr="00EE1D95">
        <w:t xml:space="preserve"> conceptual and evaluation framework</w:t>
      </w:r>
      <w:r w:rsidR="00082B9D" w:rsidRPr="00EE1D95">
        <w:t xml:space="preserve">s, </w:t>
      </w:r>
      <w:r w:rsidR="00513493" w:rsidRPr="00610D5A">
        <w:t xml:space="preserve">and to </w:t>
      </w:r>
      <w:r w:rsidR="00082B9D" w:rsidRPr="00EE1D95">
        <w:t>define the concept of marginalised rural areas</w:t>
      </w:r>
      <w:r w:rsidR="0098653C" w:rsidRPr="00EE1D95">
        <w:t>.</w:t>
      </w:r>
    </w:p>
    <w:p w14:paraId="38A6997D" w14:textId="48044C0A" w:rsidR="0098653C" w:rsidRPr="00610D5A" w:rsidRDefault="00E86DDE" w:rsidP="0098653C">
      <w:pPr>
        <w:pStyle w:val="Normaltext"/>
        <w:rPr>
          <w:highlight w:val="yellow"/>
        </w:rPr>
      </w:pPr>
      <w:r w:rsidRPr="00610D5A">
        <w:rPr>
          <w:highlight w:val="yellow"/>
        </w:rPr>
        <w:t xml:space="preserve"> </w:t>
      </w:r>
    </w:p>
    <w:p w14:paraId="6A5B253A" w14:textId="77777777" w:rsidR="0098653C" w:rsidRPr="00EE1D95" w:rsidRDefault="0098653C" w:rsidP="0098653C">
      <w:pPr>
        <w:pStyle w:val="berschrift11"/>
      </w:pPr>
      <w:r w:rsidRPr="00EE1D95">
        <w:t>Methods</w:t>
      </w:r>
    </w:p>
    <w:p w14:paraId="45B01396" w14:textId="14D4E207" w:rsidR="00697C25" w:rsidRPr="00EE1D95" w:rsidRDefault="00E55FA3" w:rsidP="0098653C">
      <w:pPr>
        <w:pStyle w:val="Normaltext"/>
      </w:pPr>
      <w:r>
        <w:t>W</w:t>
      </w:r>
      <w:r w:rsidR="00096714" w:rsidRPr="00EE1D95">
        <w:t xml:space="preserve">e first </w:t>
      </w:r>
      <w:r w:rsidR="00DC3A39" w:rsidRPr="00EE1D95">
        <w:t xml:space="preserve">developed a database </w:t>
      </w:r>
      <w:r w:rsidR="00513493" w:rsidRPr="00610D5A">
        <w:t xml:space="preserve">for </w:t>
      </w:r>
      <w:r w:rsidR="00DC3A39" w:rsidRPr="00EE1D95">
        <w:t>collecti</w:t>
      </w:r>
      <w:r w:rsidR="00513493" w:rsidRPr="00610D5A">
        <w:t>ng</w:t>
      </w:r>
      <w:r w:rsidR="00DC3A39" w:rsidRPr="00EE1D95">
        <w:t xml:space="preserve"> </w:t>
      </w:r>
      <w:r>
        <w:t xml:space="preserve">and analysing </w:t>
      </w:r>
      <w:r w:rsidR="00096714" w:rsidRPr="00EE1D95">
        <w:t xml:space="preserve">existing </w:t>
      </w:r>
      <w:r w:rsidR="00DC3A39" w:rsidRPr="00EE1D95">
        <w:t xml:space="preserve">frameworks, approaches, methods and tools </w:t>
      </w:r>
      <w:r>
        <w:t xml:space="preserve">in </w:t>
      </w:r>
      <w:r w:rsidR="00082B9D" w:rsidRPr="00EE1D95">
        <w:t xml:space="preserve">the </w:t>
      </w:r>
      <w:r w:rsidR="00DC3A39" w:rsidRPr="00EE1D95">
        <w:t>economic</w:t>
      </w:r>
      <w:r w:rsidR="00BF1433">
        <w:t>, social</w:t>
      </w:r>
      <w:r w:rsidR="00DC3A39" w:rsidRPr="00EE1D95">
        <w:t xml:space="preserve">, environmental, </w:t>
      </w:r>
      <w:r w:rsidR="00082B9D" w:rsidRPr="00EE1D95">
        <w:t xml:space="preserve">and </w:t>
      </w:r>
      <w:r w:rsidR="00DC3A39" w:rsidRPr="00EE1D95">
        <w:t>governance/institutional</w:t>
      </w:r>
      <w:r w:rsidR="00082B9D" w:rsidRPr="00EE1D95">
        <w:t xml:space="preserve"> domains</w:t>
      </w:r>
      <w:r w:rsidR="00082B9D" w:rsidRPr="00EE1D95">
        <w:rPr>
          <w:rStyle w:val="Funotenzeichen"/>
        </w:rPr>
        <w:footnoteReference w:id="5"/>
      </w:r>
      <w:r w:rsidR="00DC3A39" w:rsidRPr="00EE1D95">
        <w:t xml:space="preserve">. </w:t>
      </w:r>
      <w:r w:rsidR="00F47991" w:rsidRPr="00EE1D95">
        <w:t>The SIMRA co</w:t>
      </w:r>
      <w:r>
        <w:t>nsortium</w:t>
      </w:r>
      <w:r w:rsidR="00096714" w:rsidRPr="00EE1D95">
        <w:t xml:space="preserve"> convened </w:t>
      </w:r>
      <w:r w:rsidR="00F47991" w:rsidRPr="00EE1D95">
        <w:t xml:space="preserve">a consultation with </w:t>
      </w:r>
      <w:r w:rsidR="0098653C" w:rsidRPr="00EE1D95">
        <w:t xml:space="preserve">SITT </w:t>
      </w:r>
      <w:r w:rsidR="00DC3A39" w:rsidRPr="00EE1D95">
        <w:t xml:space="preserve">members </w:t>
      </w:r>
      <w:r w:rsidR="00513493" w:rsidRPr="00610D5A">
        <w:t>(</w:t>
      </w:r>
      <w:r w:rsidR="0098653C" w:rsidRPr="00EE1D95">
        <w:t>Bratislava</w:t>
      </w:r>
      <w:r w:rsidR="00513493" w:rsidRPr="00610D5A">
        <w:t>,</w:t>
      </w:r>
      <w:r w:rsidR="0098653C" w:rsidRPr="00EE1D95">
        <w:t xml:space="preserve"> 2016</w:t>
      </w:r>
      <w:r w:rsidR="00513493" w:rsidRPr="00610D5A">
        <w:t>)</w:t>
      </w:r>
      <w:r w:rsidR="0098653C" w:rsidRPr="00EE1D95">
        <w:t xml:space="preserve">, </w:t>
      </w:r>
      <w:r w:rsidR="008F0708" w:rsidRPr="00610D5A">
        <w:t xml:space="preserve">for in-depth </w:t>
      </w:r>
      <w:r w:rsidR="00696D71" w:rsidRPr="00EE1D95">
        <w:t>discuss</w:t>
      </w:r>
      <w:r w:rsidR="008F0708" w:rsidRPr="00610D5A">
        <w:t>ion</w:t>
      </w:r>
      <w:r w:rsidR="00696D71" w:rsidRPr="00EE1D95">
        <w:t xml:space="preserve"> </w:t>
      </w:r>
      <w:r w:rsidR="00BF1433">
        <w:t>on the concept and variables of</w:t>
      </w:r>
      <w:r w:rsidR="008F0708" w:rsidRPr="00610D5A">
        <w:t xml:space="preserve"> </w:t>
      </w:r>
      <w:r w:rsidR="00696D71" w:rsidRPr="00EE1D95">
        <w:t xml:space="preserve">social innovation, </w:t>
      </w:r>
      <w:r w:rsidR="00BF1433">
        <w:t xml:space="preserve">the definition of </w:t>
      </w:r>
      <w:r w:rsidR="00696D71" w:rsidRPr="00EE1D95">
        <w:t>marginalised rural areas and</w:t>
      </w:r>
      <w:r w:rsidR="008F0708" w:rsidRPr="00610D5A">
        <w:t>,</w:t>
      </w:r>
      <w:r w:rsidR="00696D71" w:rsidRPr="00EE1D95">
        <w:t xml:space="preserve"> specific to the objectives of this paper</w:t>
      </w:r>
      <w:r w:rsidR="008F0708" w:rsidRPr="00610D5A">
        <w:t>:</w:t>
      </w:r>
      <w:r w:rsidR="00696D71" w:rsidRPr="00EE1D95">
        <w:t xml:space="preserve"> </w:t>
      </w:r>
      <w:r w:rsidR="0098653C" w:rsidRPr="00EE1D95">
        <w:t>(1) ide</w:t>
      </w:r>
      <w:r>
        <w:t xml:space="preserve">ntification of </w:t>
      </w:r>
      <w:r w:rsidR="0098653C" w:rsidRPr="00EE1D95">
        <w:t>useful approaches,</w:t>
      </w:r>
      <w:r w:rsidR="00096714" w:rsidRPr="00EE1D95">
        <w:t xml:space="preserve"> </w:t>
      </w:r>
      <w:r w:rsidR="0098653C" w:rsidRPr="00EE1D95">
        <w:t>based on experience and expertise of stakeholders;</w:t>
      </w:r>
      <w:r w:rsidR="00DC3A39" w:rsidRPr="00EE1D95">
        <w:t xml:space="preserve"> </w:t>
      </w:r>
      <w:r>
        <w:t xml:space="preserve">and </w:t>
      </w:r>
      <w:r w:rsidR="0098653C" w:rsidRPr="00EE1D95">
        <w:t>(2) outputs expected from an assessment o</w:t>
      </w:r>
      <w:r w:rsidR="008F0708" w:rsidRPr="00610D5A">
        <w:t>f</w:t>
      </w:r>
      <w:r w:rsidR="005957CE">
        <w:t xml:space="preserve"> social innovation in marginalis</w:t>
      </w:r>
      <w:r w:rsidR="0098653C" w:rsidRPr="00EE1D95">
        <w:t>ed rural areas</w:t>
      </w:r>
      <w:r w:rsidR="00DC3A39" w:rsidRPr="00EE1D95">
        <w:t xml:space="preserve">. </w:t>
      </w:r>
      <w:r w:rsidR="0098653C" w:rsidRPr="00EE1D95">
        <w:t xml:space="preserve">The world café participatory approach </w:t>
      </w:r>
      <w:r w:rsidR="008F0708" w:rsidRPr="00610D5A">
        <w:t>used</w:t>
      </w:r>
      <w:r w:rsidR="00F47991" w:rsidRPr="00EE1D95">
        <w:t xml:space="preserve">, </w:t>
      </w:r>
      <w:r w:rsidR="0098653C" w:rsidRPr="00EE1D95">
        <w:t>address</w:t>
      </w:r>
      <w:r w:rsidR="00096714" w:rsidRPr="00EE1D95">
        <w:t>ed</w:t>
      </w:r>
      <w:r w:rsidR="0098653C" w:rsidRPr="00EE1D95">
        <w:t xml:space="preserve"> four themes: A. outcome-oriented vs. process-oriented evaluation methods; B. participatory vs. experts-based evaluation methods; C. primary and secondary data; D. qualitative vs. quantitative methods. </w:t>
      </w:r>
    </w:p>
    <w:p w14:paraId="0EEC4274" w14:textId="77777777" w:rsidR="0098653C" w:rsidRPr="00610D5A" w:rsidRDefault="0098653C" w:rsidP="0098653C">
      <w:pPr>
        <w:pStyle w:val="Normaltext"/>
        <w:rPr>
          <w:highlight w:val="yellow"/>
        </w:rPr>
      </w:pPr>
    </w:p>
    <w:p w14:paraId="18BE1144" w14:textId="17B47AC5" w:rsidR="0098653C" w:rsidRPr="00EE1D95" w:rsidRDefault="00DD3975" w:rsidP="0098653C">
      <w:pPr>
        <w:pStyle w:val="berschrift11"/>
      </w:pPr>
      <w:r w:rsidRPr="00EE1D95">
        <w:t>R</w:t>
      </w:r>
      <w:r w:rsidR="0098653C" w:rsidRPr="00EE1D95">
        <w:t>esults</w:t>
      </w:r>
    </w:p>
    <w:p w14:paraId="7DE9ECEB" w14:textId="35A7DCAE" w:rsidR="00C07EA3" w:rsidRPr="00EE1D95" w:rsidRDefault="00DC7501" w:rsidP="00F27241">
      <w:pPr>
        <w:pStyle w:val="Normaltext"/>
        <w:tabs>
          <w:tab w:val="left" w:pos="240"/>
        </w:tabs>
      </w:pPr>
      <w:r w:rsidRPr="00610D5A">
        <w:t>P</w:t>
      </w:r>
      <w:r w:rsidR="00F47991" w:rsidRPr="00EE1D95">
        <w:t xml:space="preserve">reliminary </w:t>
      </w:r>
      <w:r w:rsidR="00DC3A39" w:rsidRPr="00EE1D95">
        <w:t>analysis of existing methods yielded a list of 103 framework</w:t>
      </w:r>
      <w:r w:rsidR="00F27241" w:rsidRPr="00EE1D95">
        <w:t>s</w:t>
      </w:r>
      <w:r w:rsidR="00DC3A39" w:rsidRPr="00EE1D95">
        <w:t xml:space="preserve">, approaches and methods, and over 200 tools. 33% were applied in </w:t>
      </w:r>
      <w:r w:rsidR="00096714" w:rsidRPr="00EE1D95">
        <w:t>Europe and 28% in rural areas,</w:t>
      </w:r>
      <w:r w:rsidR="00DC3A39" w:rsidRPr="00EE1D95">
        <w:t xml:space="preserve"> </w:t>
      </w:r>
      <w:r w:rsidRPr="00610D5A">
        <w:t xml:space="preserve">with </w:t>
      </w:r>
      <w:r w:rsidR="00DC3A39" w:rsidRPr="00EE1D95">
        <w:t>23% specific to the assessment of social innovation. 42.3% proposed participatory approaches, 54</w:t>
      </w:r>
      <w:r w:rsidR="00DD3975" w:rsidRPr="00EE1D95">
        <w:t>.</w:t>
      </w:r>
      <w:r w:rsidR="00DC3A39" w:rsidRPr="00EE1D95">
        <w:t xml:space="preserve">6% an external evaluation, and 24% </w:t>
      </w:r>
      <w:r w:rsidR="00096714" w:rsidRPr="00EE1D95">
        <w:t xml:space="preserve">their </w:t>
      </w:r>
      <w:r w:rsidR="00DC3A39" w:rsidRPr="00EE1D95">
        <w:t xml:space="preserve">application </w:t>
      </w:r>
      <w:r w:rsidR="00F27241" w:rsidRPr="00EE1D95">
        <w:t>for self-eval</w:t>
      </w:r>
      <w:r w:rsidR="00DC3A39" w:rsidRPr="00EE1D95">
        <w:t>u</w:t>
      </w:r>
      <w:r w:rsidR="00F27241" w:rsidRPr="00EE1D95">
        <w:t>a</w:t>
      </w:r>
      <w:r w:rsidR="00DC3A39" w:rsidRPr="00EE1D95">
        <w:t xml:space="preserve">tion. </w:t>
      </w:r>
      <w:r w:rsidR="00096714" w:rsidRPr="00EE1D95">
        <w:t>6</w:t>
      </w:r>
      <w:r w:rsidR="00F47991" w:rsidRPr="00EE1D95">
        <w:t>6.</w:t>
      </w:r>
      <w:r w:rsidR="00096714" w:rsidRPr="00EE1D95">
        <w:t xml:space="preserve">3% of </w:t>
      </w:r>
      <w:r w:rsidR="00F27241" w:rsidRPr="00EE1D95">
        <w:t>frameworks and methods</w:t>
      </w:r>
      <w:r w:rsidR="00E43217">
        <w:t xml:space="preserve"> proposed adopted indicators, while</w:t>
      </w:r>
      <w:r w:rsidR="00F27241" w:rsidRPr="00EE1D95">
        <w:t xml:space="preserve"> </w:t>
      </w:r>
      <w:r w:rsidR="00096714" w:rsidRPr="00EE1D95">
        <w:t xml:space="preserve">27.9% considered </w:t>
      </w:r>
      <w:r w:rsidR="00F27241" w:rsidRPr="00EE1D95">
        <w:t xml:space="preserve">use of counterfactual </w:t>
      </w:r>
      <w:r w:rsidR="00096714" w:rsidRPr="00EE1D95">
        <w:t>analysis</w:t>
      </w:r>
      <w:r w:rsidR="00F27241" w:rsidRPr="00EE1D95">
        <w:t>.</w:t>
      </w:r>
      <w:r w:rsidR="00096714" w:rsidRPr="00EE1D95">
        <w:t xml:space="preserve"> </w:t>
      </w:r>
      <w:r w:rsidR="00D64BD6" w:rsidRPr="00610D5A">
        <w:t>Criteria for the evaluation included</w:t>
      </w:r>
      <w:r w:rsidR="009F49CA" w:rsidRPr="00EE1D95">
        <w:t xml:space="preserve"> relevance (44.2%), efficiency (35</w:t>
      </w:r>
      <w:r w:rsidR="00E43217">
        <w:t>.6%), effectiveness (48.1%) and impact (58.7%). E</w:t>
      </w:r>
      <w:r w:rsidR="009F49CA" w:rsidRPr="00EE1D95">
        <w:t xml:space="preserve">quity, capacity, </w:t>
      </w:r>
      <w:r w:rsidRPr="00610D5A">
        <w:t xml:space="preserve">and </w:t>
      </w:r>
      <w:r w:rsidR="009F49CA" w:rsidRPr="00EE1D95">
        <w:t>sustainability</w:t>
      </w:r>
      <w:r w:rsidR="00D64BD6" w:rsidRPr="00610D5A">
        <w:t xml:space="preserve"> </w:t>
      </w:r>
      <w:r w:rsidR="00E43217">
        <w:t xml:space="preserve">were </w:t>
      </w:r>
      <w:r w:rsidR="00D64BD6" w:rsidRPr="00610D5A">
        <w:t>also cited</w:t>
      </w:r>
      <w:r w:rsidR="009F49CA" w:rsidRPr="00EE1D95">
        <w:t xml:space="preserve">. </w:t>
      </w:r>
      <w:r w:rsidRPr="00610D5A">
        <w:t>A</w:t>
      </w:r>
      <w:r w:rsidR="009F49CA" w:rsidRPr="00EE1D95">
        <w:t xml:space="preserve"> third of the</w:t>
      </w:r>
      <w:r w:rsidR="00D64BD6" w:rsidRPr="00610D5A">
        <w:t>se</w:t>
      </w:r>
      <w:r w:rsidR="009F49CA" w:rsidRPr="00EE1D95">
        <w:t xml:space="preserve"> methods adopted software</w:t>
      </w:r>
      <w:r w:rsidR="000027D2" w:rsidRPr="00EE1D95">
        <w:t xml:space="preserve"> tools</w:t>
      </w:r>
      <w:r w:rsidR="009F49CA" w:rsidRPr="00EE1D95">
        <w:t xml:space="preserve"> </w:t>
      </w:r>
      <w:r w:rsidR="00E43217">
        <w:t>for Social Network Analysis, mapping and others</w:t>
      </w:r>
      <w:r w:rsidR="009F49CA" w:rsidRPr="00EE1D95">
        <w:t>.</w:t>
      </w:r>
      <w:r w:rsidR="00C07EA3">
        <w:tab/>
      </w:r>
    </w:p>
    <w:p w14:paraId="77C9799C" w14:textId="10086AA0" w:rsidR="0036110E" w:rsidRPr="00D274A8" w:rsidRDefault="00C07EA3" w:rsidP="0036110E">
      <w:pPr>
        <w:pStyle w:val="Normaltext"/>
        <w:tabs>
          <w:tab w:val="left" w:pos="240"/>
        </w:tabs>
      </w:pPr>
      <w:r>
        <w:rPr>
          <w:rFonts w:cstheme="minorHAnsi"/>
        </w:rPr>
        <w:tab/>
      </w:r>
      <w:r w:rsidR="0060572E" w:rsidRPr="00EE1D95">
        <w:rPr>
          <w:rFonts w:cstheme="minorHAnsi"/>
        </w:rPr>
        <w:t>In</w:t>
      </w:r>
      <w:r w:rsidR="00396AEE" w:rsidRPr="00610D5A">
        <w:rPr>
          <w:rFonts w:cstheme="minorHAnsi"/>
        </w:rPr>
        <w:t xml:space="preserve"> </w:t>
      </w:r>
      <w:r w:rsidR="0098653C" w:rsidRPr="00EE1D95">
        <w:t xml:space="preserve">discussions </w:t>
      </w:r>
      <w:r w:rsidR="0060572E" w:rsidRPr="00EE1D95">
        <w:t>o</w:t>
      </w:r>
      <w:r w:rsidR="00396AEE" w:rsidRPr="00610D5A">
        <w:t>f</w:t>
      </w:r>
      <w:r w:rsidR="0060572E" w:rsidRPr="00EE1D95">
        <w:t xml:space="preserve"> </w:t>
      </w:r>
      <w:r w:rsidR="00431DE7" w:rsidRPr="00EE1D95">
        <w:rPr>
          <w:rFonts w:cstheme="minorHAnsi"/>
          <w:b/>
        </w:rPr>
        <w:t xml:space="preserve">process-oriented vs. outcome-oriented evaluation methods, </w:t>
      </w:r>
      <w:r w:rsidR="000027D2" w:rsidRPr="00EE1D95">
        <w:rPr>
          <w:rFonts w:cstheme="minorHAnsi"/>
        </w:rPr>
        <w:t xml:space="preserve">the </w:t>
      </w:r>
      <w:r w:rsidR="00431DE7" w:rsidRPr="00EE1D95">
        <w:t xml:space="preserve">relationship between process and outcome </w:t>
      </w:r>
      <w:r w:rsidR="000027D2" w:rsidRPr="00EE1D95">
        <w:t xml:space="preserve">was </w:t>
      </w:r>
      <w:r w:rsidR="00E43217">
        <w:t xml:space="preserve">considered </w:t>
      </w:r>
      <w:r w:rsidR="000027D2" w:rsidRPr="00EE1D95">
        <w:t xml:space="preserve">key for </w:t>
      </w:r>
      <w:r w:rsidR="00F27241" w:rsidRPr="00EE1D95">
        <w:t xml:space="preserve">measuring </w:t>
      </w:r>
      <w:r w:rsidR="00431DE7" w:rsidRPr="00EE1D95">
        <w:t>tangible a</w:t>
      </w:r>
      <w:r w:rsidR="000027D2" w:rsidRPr="00EE1D95">
        <w:t>nd intangible elements of SI,</w:t>
      </w:r>
      <w:r w:rsidR="00431DE7" w:rsidRPr="00EE1D95">
        <w:t xml:space="preserve"> and identifying factors </w:t>
      </w:r>
      <w:r w:rsidR="00E43217">
        <w:t xml:space="preserve">contributing to </w:t>
      </w:r>
      <w:r w:rsidR="00431DE7" w:rsidRPr="00EE1D95">
        <w:t>success or failure</w:t>
      </w:r>
      <w:r w:rsidR="00E43217">
        <w:t xml:space="preserve"> of initiatives</w:t>
      </w:r>
      <w:r w:rsidR="00431DE7" w:rsidRPr="00EE1D95">
        <w:t xml:space="preserve">. </w:t>
      </w:r>
      <w:r w:rsidR="000027D2" w:rsidRPr="00EE1D95">
        <w:t>E</w:t>
      </w:r>
      <w:r w:rsidR="00431DE7" w:rsidRPr="00EE1D95">
        <w:t>x</w:t>
      </w:r>
      <w:r w:rsidR="00396AEE" w:rsidRPr="00610D5A">
        <w:t>-</w:t>
      </w:r>
      <w:r w:rsidR="00431DE7" w:rsidRPr="00EE1D95">
        <w:t xml:space="preserve">ante evaluation </w:t>
      </w:r>
      <w:r w:rsidR="000027D2" w:rsidRPr="00EE1D95">
        <w:t xml:space="preserve">was </w:t>
      </w:r>
      <w:r w:rsidR="009F15B9" w:rsidRPr="00610D5A">
        <w:t xml:space="preserve">considered </w:t>
      </w:r>
      <w:r w:rsidR="00E43217">
        <w:t>in 16.5% of the methods analysed,</w:t>
      </w:r>
      <w:r w:rsidR="009F15B9" w:rsidRPr="00610D5A">
        <w:t xml:space="preserve"> </w:t>
      </w:r>
      <w:r w:rsidR="00E43217">
        <w:t xml:space="preserve">yet stakeholders perceived its importance </w:t>
      </w:r>
      <w:r w:rsidR="009F15B9" w:rsidRPr="00610D5A">
        <w:t xml:space="preserve">for </w:t>
      </w:r>
      <w:r w:rsidR="00E43217">
        <w:t xml:space="preserve">the selection of </w:t>
      </w:r>
      <w:r w:rsidR="00431DE7" w:rsidRPr="00EE1D95">
        <w:t>case studies</w:t>
      </w:r>
      <w:r w:rsidR="00E43217">
        <w:t xml:space="preserve"> </w:t>
      </w:r>
      <w:r w:rsidR="00E43217" w:rsidRPr="00EE1D95">
        <w:t>(</w:t>
      </w:r>
      <w:r w:rsidR="00E43217" w:rsidRPr="00610D5A">
        <w:t>Figure</w:t>
      </w:r>
      <w:r w:rsidR="00E43217" w:rsidRPr="00EE1D95">
        <w:t xml:space="preserve"> 1)</w:t>
      </w:r>
      <w:r w:rsidR="009F15B9" w:rsidRPr="00610D5A">
        <w:t xml:space="preserve">. </w:t>
      </w:r>
      <w:r w:rsidR="00E43217">
        <w:t>I</w:t>
      </w:r>
      <w:r w:rsidR="009F15B9" w:rsidRPr="00610D5A">
        <w:t xml:space="preserve">t was </w:t>
      </w:r>
      <w:r w:rsidR="000027D2" w:rsidRPr="00EE1D95">
        <w:t>recognised that</w:t>
      </w:r>
      <w:r w:rsidR="009F15B9" w:rsidRPr="00610D5A">
        <w:t>:</w:t>
      </w:r>
      <w:r w:rsidR="000027D2" w:rsidRPr="00EE1D95">
        <w:t xml:space="preserve"> (</w:t>
      </w:r>
      <w:proofErr w:type="spellStart"/>
      <w:r w:rsidR="000027D2" w:rsidRPr="00EE1D95">
        <w:t>i</w:t>
      </w:r>
      <w:proofErr w:type="spellEnd"/>
      <w:r w:rsidR="000027D2" w:rsidRPr="00EE1D95">
        <w:t xml:space="preserve">) </w:t>
      </w:r>
      <w:r w:rsidR="00431DE7" w:rsidRPr="00EE1D95">
        <w:t>di</w:t>
      </w:r>
      <w:r w:rsidR="000027D2" w:rsidRPr="00EE1D95">
        <w:t xml:space="preserve">fferent starting points for SI </w:t>
      </w:r>
      <w:r w:rsidR="00E01504">
        <w:t>challenge</w:t>
      </w:r>
      <w:r w:rsidR="009F15B9" w:rsidRPr="00610D5A">
        <w:t xml:space="preserve"> </w:t>
      </w:r>
      <w:r w:rsidR="00E01504">
        <w:t xml:space="preserve">assessment of </w:t>
      </w:r>
      <w:r w:rsidR="00431DE7" w:rsidRPr="00EE1D95">
        <w:t>outcomes and results</w:t>
      </w:r>
      <w:r w:rsidR="009F15B9" w:rsidRPr="00610D5A">
        <w:t>;</w:t>
      </w:r>
      <w:r w:rsidR="00431DE7" w:rsidRPr="00EE1D95">
        <w:t xml:space="preserve"> </w:t>
      </w:r>
      <w:r w:rsidR="000027D2" w:rsidRPr="00EE1D95">
        <w:t xml:space="preserve">(ii) </w:t>
      </w:r>
      <w:r w:rsidR="00E01504">
        <w:t xml:space="preserve">while </w:t>
      </w:r>
      <w:r w:rsidR="00431DE7" w:rsidRPr="00EE1D95">
        <w:t xml:space="preserve">different contexts </w:t>
      </w:r>
      <w:r w:rsidR="00431DE7" w:rsidRPr="00EE1D95">
        <w:lastRenderedPageBreak/>
        <w:t xml:space="preserve">mean that SI in one country may be standard practice </w:t>
      </w:r>
      <w:r w:rsidR="00E01504">
        <w:t>somewhere else</w:t>
      </w:r>
      <w:r w:rsidR="00431DE7" w:rsidRPr="00EE1D95">
        <w:t>.</w:t>
      </w:r>
      <w:r w:rsidR="000027D2" w:rsidRPr="00EE1D95">
        <w:t xml:space="preserve"> </w:t>
      </w:r>
    </w:p>
    <w:p w14:paraId="63CA4E8E" w14:textId="4D5CAC8E" w:rsidR="00D274A8" w:rsidRDefault="00431DE7" w:rsidP="00431DE7">
      <w:pPr>
        <w:pStyle w:val="Normaltext"/>
        <w:tabs>
          <w:tab w:val="left" w:pos="240"/>
        </w:tabs>
        <w:rPr>
          <w:noProof/>
          <w:highlight w:val="yellow"/>
          <w:lang w:val="en-US" w:eastAsia="en-US"/>
        </w:rPr>
      </w:pPr>
      <w:r w:rsidRPr="00E23E5D">
        <w:tab/>
      </w:r>
      <w:r w:rsidR="00E23E5D" w:rsidRPr="00610D5A">
        <w:t>D</w:t>
      </w:r>
      <w:r w:rsidRPr="00EE1D95">
        <w:t xml:space="preserve">iscussions </w:t>
      </w:r>
      <w:r w:rsidR="0060572E" w:rsidRPr="00EE1D95">
        <w:t>on</w:t>
      </w:r>
      <w:r w:rsidRPr="00EE1D95">
        <w:t xml:space="preserve"> </w:t>
      </w:r>
      <w:r w:rsidRPr="00EE1D95">
        <w:rPr>
          <w:b/>
        </w:rPr>
        <w:t>participatory vs. experts-based evaluation</w:t>
      </w:r>
      <w:r w:rsidRPr="00EE1D95">
        <w:t xml:space="preserve"> support</w:t>
      </w:r>
      <w:r w:rsidR="0060572E" w:rsidRPr="00EE1D95">
        <w:t>ed</w:t>
      </w:r>
      <w:r w:rsidRPr="00EE1D95">
        <w:t xml:space="preserve"> the use of participatory processes</w:t>
      </w:r>
      <w:r w:rsidR="0060572E" w:rsidRPr="00EE1D95">
        <w:t xml:space="preserve"> (also led by experts)</w:t>
      </w:r>
      <w:r w:rsidRPr="00EE1D95">
        <w:t xml:space="preserve"> to legitimate, </w:t>
      </w:r>
      <w:r w:rsidR="00E01504">
        <w:t xml:space="preserve">increase ownership, </w:t>
      </w:r>
      <w:r w:rsidRPr="00EE1D95">
        <w:t xml:space="preserve">adoption and implementation. The use of participatory approaches was also seen as crucial for assessing the ‘feeling’ or intangible </w:t>
      </w:r>
      <w:r w:rsidR="00E01504">
        <w:t xml:space="preserve">values </w:t>
      </w:r>
      <w:r w:rsidRPr="00EE1D95">
        <w:t>of those involved in social innovation</w:t>
      </w:r>
      <w:r w:rsidR="00E01504">
        <w:t>,</w:t>
      </w:r>
      <w:r w:rsidR="00F27241" w:rsidRPr="00EE1D95">
        <w:t xml:space="preserve"> </w:t>
      </w:r>
      <w:r w:rsidRPr="00EE1D95">
        <w:t xml:space="preserve">through indicators for </w:t>
      </w:r>
      <w:r w:rsidR="00E23E5D" w:rsidRPr="00610D5A">
        <w:t>the measurement of</w:t>
      </w:r>
      <w:r w:rsidRPr="00EE1D95">
        <w:t xml:space="preserve"> trust, involvement of the community in innovative approaches, connection </w:t>
      </w:r>
      <w:r w:rsidR="00F27241" w:rsidRPr="00EE1D95">
        <w:t>t</w:t>
      </w:r>
      <w:r w:rsidRPr="00EE1D95">
        <w:t>o other actors</w:t>
      </w:r>
      <w:r w:rsidR="00E23E5D" w:rsidRPr="00610D5A">
        <w:t>,</w:t>
      </w:r>
      <w:r w:rsidRPr="00EE1D95">
        <w:t xml:space="preserve"> and the level of acceptance and exchange of new practices. One risk </w:t>
      </w:r>
      <w:r w:rsidR="00E23E5D" w:rsidRPr="00610D5A">
        <w:t xml:space="preserve">anticipated </w:t>
      </w:r>
      <w:r w:rsidR="00F27241" w:rsidRPr="00EE1D95">
        <w:t xml:space="preserve">was loss of </w:t>
      </w:r>
      <w:r w:rsidR="00E23E5D" w:rsidRPr="00610D5A">
        <w:t xml:space="preserve">stakeholder </w:t>
      </w:r>
      <w:r w:rsidR="00F27241" w:rsidRPr="00EE1D95">
        <w:t xml:space="preserve">interest due to </w:t>
      </w:r>
      <w:r w:rsidR="00E23E5D" w:rsidRPr="00610D5A">
        <w:t xml:space="preserve">a </w:t>
      </w:r>
      <w:r w:rsidR="00F27241" w:rsidRPr="00EE1D95">
        <w:t>lack of follow-up.</w:t>
      </w:r>
      <w:r w:rsidR="0060572E" w:rsidRPr="00EE1D95">
        <w:t xml:space="preserve"> </w:t>
      </w:r>
      <w:r w:rsidRPr="00EE1D95">
        <w:t xml:space="preserve">Participants also highlighted the importance of evaluating the impacts of social innovation through actual changes in policy. The group </w:t>
      </w:r>
      <w:r w:rsidR="0060572E" w:rsidRPr="00EE1D95">
        <w:t xml:space="preserve">suggested </w:t>
      </w:r>
      <w:r w:rsidRPr="00EE1D95">
        <w:t xml:space="preserve">it was important to understand “how </w:t>
      </w:r>
      <w:r w:rsidR="0060572E" w:rsidRPr="00EE1D95">
        <w:t xml:space="preserve">to </w:t>
      </w:r>
      <w:r w:rsidRPr="00EE1D95">
        <w:t>follow a story”, and look at</w:t>
      </w:r>
      <w:r w:rsidR="0060572E" w:rsidRPr="00EE1D95">
        <w:t xml:space="preserve"> </w:t>
      </w:r>
      <w:r w:rsidRPr="00EE1D95">
        <w:t>long-term impacts.</w:t>
      </w:r>
      <w:r w:rsidR="00D274A8" w:rsidRPr="00D274A8">
        <w:rPr>
          <w:noProof/>
          <w:highlight w:val="yellow"/>
          <w:lang w:val="en-US" w:eastAsia="en-US"/>
        </w:rPr>
        <w:t xml:space="preserve"> </w:t>
      </w:r>
    </w:p>
    <w:p w14:paraId="578DFC33" w14:textId="77777777" w:rsidR="00E01504" w:rsidRDefault="00E01504" w:rsidP="00431DE7">
      <w:pPr>
        <w:pStyle w:val="Normaltext"/>
        <w:tabs>
          <w:tab w:val="left" w:pos="240"/>
        </w:tabs>
        <w:rPr>
          <w:noProof/>
          <w:highlight w:val="yellow"/>
          <w:lang w:val="en-US" w:eastAsia="en-US"/>
        </w:rPr>
      </w:pPr>
    </w:p>
    <w:p w14:paraId="40C19035" w14:textId="533AF4B9" w:rsidR="00E01504" w:rsidRDefault="00E01504" w:rsidP="00431DE7">
      <w:pPr>
        <w:pStyle w:val="Normaltext"/>
        <w:tabs>
          <w:tab w:val="left" w:pos="240"/>
        </w:tabs>
        <w:rPr>
          <w:noProof/>
          <w:highlight w:val="yellow"/>
          <w:lang w:val="en-US" w:eastAsia="en-US"/>
        </w:rPr>
      </w:pPr>
      <w:r>
        <w:rPr>
          <w:noProof/>
          <w:lang w:val="de-DE" w:eastAsia="de-DE"/>
        </w:rPr>
        <w:drawing>
          <wp:inline distT="0" distB="0" distL="0" distR="0" wp14:anchorId="17CB33FA" wp14:editId="7326188F">
            <wp:extent cx="2723515" cy="1685290"/>
            <wp:effectExtent l="0" t="0" r="635" b="1016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86636A" w14:textId="670BDE51" w:rsidR="00D274A8" w:rsidRPr="00EE1D95" w:rsidRDefault="00D274A8" w:rsidP="00D274A8">
      <w:pPr>
        <w:pStyle w:val="Normaltext"/>
        <w:spacing w:after="120"/>
      </w:pPr>
      <w:r w:rsidRPr="00EE1D95">
        <w:rPr>
          <w:i/>
          <w:iCs/>
          <w:sz w:val="14"/>
        </w:rPr>
        <w:t xml:space="preserve">Figure 1. </w:t>
      </w:r>
      <w:r w:rsidR="00E01504">
        <w:rPr>
          <w:i/>
          <w:iCs/>
          <w:sz w:val="14"/>
        </w:rPr>
        <w:t>Evaluation typologies in the methods assessed</w:t>
      </w:r>
      <w:r w:rsidRPr="00EE1D95">
        <w:rPr>
          <w:i/>
          <w:iCs/>
          <w:sz w:val="14"/>
        </w:rPr>
        <w:t>.</w:t>
      </w:r>
    </w:p>
    <w:p w14:paraId="18B213AE" w14:textId="7362959E" w:rsidR="00431DE7" w:rsidRPr="00EE1D95" w:rsidRDefault="00431DE7" w:rsidP="00431DE7">
      <w:pPr>
        <w:pStyle w:val="Normaltext"/>
        <w:tabs>
          <w:tab w:val="left" w:pos="240"/>
        </w:tabs>
      </w:pPr>
      <w:r w:rsidRPr="00EE1D95">
        <w:tab/>
        <w:t xml:space="preserve">In </w:t>
      </w:r>
      <w:r w:rsidR="00EE1D95" w:rsidRPr="00610D5A">
        <w:t xml:space="preserve">discussions about </w:t>
      </w:r>
      <w:r w:rsidRPr="00EE1D95">
        <w:rPr>
          <w:b/>
        </w:rPr>
        <w:t>primary vs. secondary data</w:t>
      </w:r>
      <w:r w:rsidRPr="00EE1D95">
        <w:t>, discussions highlighted the importance of primary data to identify the specific context of social innovation</w:t>
      </w:r>
      <w:r w:rsidR="0060572E" w:rsidRPr="00EE1D95">
        <w:t xml:space="preserve"> due to </w:t>
      </w:r>
      <w:r w:rsidR="00EE1D95" w:rsidRPr="00610D5A">
        <w:t xml:space="preserve">a </w:t>
      </w:r>
      <w:r w:rsidR="0060572E" w:rsidRPr="00EE1D95">
        <w:t xml:space="preserve">lack of </w:t>
      </w:r>
      <w:r w:rsidR="00E01504">
        <w:t xml:space="preserve">specific </w:t>
      </w:r>
      <w:r w:rsidR="0060572E" w:rsidRPr="00EE1D95">
        <w:t>secondary data</w:t>
      </w:r>
      <w:r w:rsidRPr="00EE1D95">
        <w:t>. Stakeholders suggested</w:t>
      </w:r>
      <w:r w:rsidR="0060572E" w:rsidRPr="00EE1D95">
        <w:t xml:space="preserve"> adopting</w:t>
      </w:r>
      <w:r w:rsidR="00EE1D95" w:rsidRPr="00610D5A">
        <w:t xml:space="preserve">: </w:t>
      </w:r>
      <w:r w:rsidRPr="00EE1D95">
        <w:t>(</w:t>
      </w:r>
      <w:proofErr w:type="spellStart"/>
      <w:r w:rsidRPr="00EE1D95">
        <w:t>i</w:t>
      </w:r>
      <w:proofErr w:type="spellEnd"/>
      <w:r w:rsidRPr="00EE1D95">
        <w:t>) focus groups and participatory methods; (ii) semi-structured interviews; (iii) long</w:t>
      </w:r>
      <w:r w:rsidR="00EE1D95" w:rsidRPr="00610D5A">
        <w:t>-</w:t>
      </w:r>
      <w:r w:rsidRPr="00EE1D95">
        <w:t>term survey for studying pre</w:t>
      </w:r>
      <w:r w:rsidR="00EE1D95" w:rsidRPr="00610D5A">
        <w:t>-</w:t>
      </w:r>
      <w:r w:rsidRPr="00EE1D95">
        <w:t xml:space="preserve"> and post</w:t>
      </w:r>
      <w:r w:rsidR="00EE1D95" w:rsidRPr="00610D5A">
        <w:t>-</w:t>
      </w:r>
      <w:r w:rsidRPr="00EE1D95">
        <w:t xml:space="preserve">conditions; (iv) stakeholder analysis, emphasising the importance for gathering soft data on interactions, </w:t>
      </w:r>
      <w:r w:rsidR="00EE1D95" w:rsidRPr="00610D5A">
        <w:t>attitudes, opinions</w:t>
      </w:r>
      <w:r w:rsidR="00EE1D95" w:rsidRPr="00EE1D95">
        <w:t xml:space="preserve"> </w:t>
      </w:r>
      <w:r w:rsidRPr="00EE1D95">
        <w:t>and activities</w:t>
      </w:r>
      <w:r w:rsidR="00E01504">
        <w:t xml:space="preserve"> carried out</w:t>
      </w:r>
      <w:r w:rsidRPr="00EE1D95">
        <w:t xml:space="preserve">. </w:t>
      </w:r>
      <w:r w:rsidR="0060572E" w:rsidRPr="00EE1D95">
        <w:t xml:space="preserve">Emphasis was given to the adoption of </w:t>
      </w:r>
      <w:r w:rsidRPr="00EE1D95">
        <w:t>critical approac</w:t>
      </w:r>
      <w:r w:rsidR="00E01504">
        <w:t>hes and capacity for reflection</w:t>
      </w:r>
      <w:r w:rsidRPr="00EE1D95">
        <w:t xml:space="preserve"> to </w:t>
      </w:r>
      <w:r w:rsidR="00E01504">
        <w:t>address the role of subjectivity</w:t>
      </w:r>
      <w:r w:rsidRPr="00EE1D95">
        <w:t xml:space="preserve">. Key </w:t>
      </w:r>
      <w:r w:rsidR="00EE1D95" w:rsidRPr="00610D5A">
        <w:t xml:space="preserve">conclusions </w:t>
      </w:r>
      <w:r w:rsidRPr="00EE1D95">
        <w:t>were that</w:t>
      </w:r>
      <w:r w:rsidR="00EE1D95" w:rsidRPr="00610D5A">
        <w:t>:</w:t>
      </w:r>
      <w:r w:rsidRPr="00EE1D95">
        <w:t xml:space="preserve"> (</w:t>
      </w:r>
      <w:proofErr w:type="spellStart"/>
      <w:r w:rsidRPr="00EE1D95">
        <w:t>i</w:t>
      </w:r>
      <w:proofErr w:type="spellEnd"/>
      <w:r w:rsidRPr="00EE1D95">
        <w:t>) data should be comparable; (ii) triangulation should be used to ve</w:t>
      </w:r>
      <w:r w:rsidR="0060572E" w:rsidRPr="00EE1D95">
        <w:t xml:space="preserve">rify quality of </w:t>
      </w:r>
      <w:r w:rsidR="00376DC2">
        <w:t xml:space="preserve">quantitative and qualitative </w:t>
      </w:r>
      <w:r w:rsidR="0060572E" w:rsidRPr="00EE1D95">
        <w:t>data</w:t>
      </w:r>
      <w:r w:rsidRPr="00EE1D95">
        <w:t>; (iii) data should be publicly available.</w:t>
      </w:r>
    </w:p>
    <w:p w14:paraId="02A9A659" w14:textId="0975A378" w:rsidR="00431DE7" w:rsidRPr="00EE1D95" w:rsidRDefault="00431DE7" w:rsidP="00431DE7">
      <w:pPr>
        <w:pStyle w:val="Normaltext"/>
        <w:tabs>
          <w:tab w:val="left" w:pos="240"/>
        </w:tabs>
      </w:pPr>
      <w:r w:rsidRPr="00EE1D95">
        <w:tab/>
        <w:t xml:space="preserve">In </w:t>
      </w:r>
      <w:r w:rsidR="00EE1D95" w:rsidRPr="00610D5A">
        <w:t>discussion</w:t>
      </w:r>
      <w:r w:rsidR="00D274A8">
        <w:t>s</w:t>
      </w:r>
      <w:r w:rsidR="00EE1D95" w:rsidRPr="00610D5A">
        <w:t xml:space="preserve"> of </w:t>
      </w:r>
      <w:r w:rsidRPr="00EE1D95">
        <w:rPr>
          <w:b/>
        </w:rPr>
        <w:t>qualitative vs. quantitative methods</w:t>
      </w:r>
      <w:r w:rsidRPr="00EE1D95">
        <w:t>, SITT members agreed that evaluation methods and tools should be tailored to: (</w:t>
      </w:r>
      <w:proofErr w:type="spellStart"/>
      <w:r w:rsidRPr="00EE1D95">
        <w:t>i</w:t>
      </w:r>
      <w:proofErr w:type="spellEnd"/>
      <w:r w:rsidRPr="00EE1D95">
        <w:t xml:space="preserve">) needs and purpose of the evaluation; (ii) type of project </w:t>
      </w:r>
      <w:r w:rsidR="0060572E" w:rsidRPr="00EE1D95">
        <w:t>being evaluated</w:t>
      </w:r>
      <w:r w:rsidRPr="00EE1D95">
        <w:t xml:space="preserve">; </w:t>
      </w:r>
      <w:r w:rsidR="00376DC2">
        <w:t xml:space="preserve">and </w:t>
      </w:r>
      <w:r w:rsidRPr="00EE1D95">
        <w:t>(iii) object of measurement, e.g.</w:t>
      </w:r>
      <w:r w:rsidR="00376DC2">
        <w:t>,</w:t>
      </w:r>
      <w:r w:rsidRPr="00EE1D95">
        <w:t xml:space="preserve"> </w:t>
      </w:r>
      <w:r w:rsidRPr="00EE1D95">
        <w:t xml:space="preserve">whether it is a process or </w:t>
      </w:r>
      <w:r w:rsidR="0060572E" w:rsidRPr="00EE1D95">
        <w:t>a result</w:t>
      </w:r>
      <w:r w:rsidRPr="00EE1D95">
        <w:t xml:space="preserve">. Qualitative and quantitative approaches were identified as complementary and suitable </w:t>
      </w:r>
      <w:r w:rsidR="00EE1D95" w:rsidRPr="00610D5A">
        <w:t xml:space="preserve">for use in </w:t>
      </w:r>
      <w:r w:rsidR="0060572E" w:rsidRPr="00EE1D95">
        <w:t>evaluation</w:t>
      </w:r>
      <w:r w:rsidR="00EE1D95" w:rsidRPr="00610D5A">
        <w:t>s</w:t>
      </w:r>
      <w:r w:rsidRPr="00EE1D95">
        <w:t xml:space="preserve">. </w:t>
      </w:r>
      <w:r w:rsidR="009861E9" w:rsidRPr="00EE1D95">
        <w:t>Whil</w:t>
      </w:r>
      <w:r w:rsidR="00EE1D95" w:rsidRPr="00610D5A">
        <w:t>st</w:t>
      </w:r>
      <w:r w:rsidR="009861E9" w:rsidRPr="00EE1D95">
        <w:t xml:space="preserve"> q</w:t>
      </w:r>
      <w:r w:rsidR="00D274A8">
        <w:t>ual</w:t>
      </w:r>
      <w:r w:rsidRPr="00EE1D95">
        <w:t xml:space="preserve">itative methods are not always popular among </w:t>
      </w:r>
      <w:r w:rsidR="00376DC2">
        <w:t>evaluators</w:t>
      </w:r>
      <w:r w:rsidR="009861E9" w:rsidRPr="00EE1D95">
        <w:t>,</w:t>
      </w:r>
      <w:r w:rsidRPr="00EE1D95">
        <w:t xml:space="preserve"> they provide in-depth information</w:t>
      </w:r>
      <w:r w:rsidR="00376DC2">
        <w:t xml:space="preserve"> from the practitioners’ level </w:t>
      </w:r>
      <w:r w:rsidR="00F16985" w:rsidRPr="00EE1D95">
        <w:t xml:space="preserve">to </w:t>
      </w:r>
      <w:r w:rsidR="009861E9" w:rsidRPr="00EE1D95">
        <w:t xml:space="preserve">policy makers and funders. </w:t>
      </w:r>
      <w:r w:rsidRPr="00EE1D95">
        <w:t xml:space="preserve">Finally, it was noted that </w:t>
      </w:r>
      <w:r w:rsidR="00F16985" w:rsidRPr="00EE1D95">
        <w:t xml:space="preserve">for </w:t>
      </w:r>
      <w:r w:rsidRPr="00EE1D95">
        <w:t xml:space="preserve">small </w:t>
      </w:r>
      <w:r w:rsidR="00376DC2">
        <w:t>or new and</w:t>
      </w:r>
      <w:r w:rsidRPr="00EE1D95">
        <w:t xml:space="preserve"> innovative projects, it </w:t>
      </w:r>
      <w:r w:rsidR="00EE1D95" w:rsidRPr="00610D5A">
        <w:t xml:space="preserve">may </w:t>
      </w:r>
      <w:r w:rsidRPr="00EE1D95">
        <w:t>b</w:t>
      </w:r>
      <w:r w:rsidR="00986907" w:rsidRPr="00EE1D95">
        <w:t xml:space="preserve">e difficult to measure </w:t>
      </w:r>
      <w:r w:rsidR="00EE1D95" w:rsidRPr="00610D5A">
        <w:t xml:space="preserve">their </w:t>
      </w:r>
      <w:r w:rsidR="00986907" w:rsidRPr="00EE1D95">
        <w:t>long-</w:t>
      </w:r>
      <w:r w:rsidRPr="00EE1D95">
        <w:t>term impact</w:t>
      </w:r>
      <w:r w:rsidR="00F16985" w:rsidRPr="00EE1D95">
        <w:t>s</w:t>
      </w:r>
      <w:r w:rsidRPr="00EE1D95">
        <w:t>.</w:t>
      </w:r>
    </w:p>
    <w:p w14:paraId="415F5749" w14:textId="77777777" w:rsidR="009F49CA" w:rsidRPr="004E6263" w:rsidRDefault="009F49CA" w:rsidP="009F49CA">
      <w:pPr>
        <w:pStyle w:val="berschrift11"/>
      </w:pPr>
    </w:p>
    <w:p w14:paraId="01A452C8" w14:textId="480AC1B4" w:rsidR="009F49CA" w:rsidRPr="004E6263" w:rsidRDefault="00DD3975" w:rsidP="009F49CA">
      <w:pPr>
        <w:pStyle w:val="berschrift11"/>
      </w:pPr>
      <w:r w:rsidRPr="004E6263">
        <w:t>C</w:t>
      </w:r>
      <w:r w:rsidR="009F49CA" w:rsidRPr="004E6263">
        <w:t>onclusions</w:t>
      </w:r>
    </w:p>
    <w:p w14:paraId="6FC46E4D" w14:textId="30D363A3" w:rsidR="00990126" w:rsidRPr="00D274A8" w:rsidRDefault="00D22C54" w:rsidP="00990126">
      <w:pPr>
        <w:pStyle w:val="Normaltext"/>
        <w:tabs>
          <w:tab w:val="left" w:pos="240"/>
        </w:tabs>
        <w:rPr>
          <w:color w:val="FF0000"/>
        </w:rPr>
      </w:pPr>
      <w:r w:rsidRPr="004E6263">
        <w:t>These preliminary results show congruence between the methods analysed and the guidance provided by SITT members.</w:t>
      </w:r>
      <w:r w:rsidR="00D274A8">
        <w:t xml:space="preserve"> More specific question</w:t>
      </w:r>
      <w:r w:rsidR="005947B8">
        <w:t>s,</w:t>
      </w:r>
      <w:r w:rsidR="00D274A8">
        <w:t xml:space="preserve"> relate</w:t>
      </w:r>
      <w:r w:rsidR="005947B8">
        <w:t>d</w:t>
      </w:r>
      <w:r w:rsidR="00D274A8">
        <w:t xml:space="preserve"> to how </w:t>
      </w:r>
      <w:r w:rsidR="00392A95" w:rsidRPr="00D274A8">
        <w:rPr>
          <w:color w:val="000000" w:themeColor="text1"/>
        </w:rPr>
        <w:t>to</w:t>
      </w:r>
      <w:r w:rsidR="005947B8">
        <w:rPr>
          <w:color w:val="000000" w:themeColor="text1"/>
        </w:rPr>
        <w:t xml:space="preserve"> measure </w:t>
      </w:r>
      <w:r w:rsidR="00773484">
        <w:rPr>
          <w:color w:val="000000" w:themeColor="text1"/>
        </w:rPr>
        <w:t xml:space="preserve">the </w:t>
      </w:r>
      <w:r w:rsidR="00392A95" w:rsidRPr="00D274A8">
        <w:rPr>
          <w:color w:val="000000" w:themeColor="text1"/>
        </w:rPr>
        <w:t>emergence</w:t>
      </w:r>
      <w:r w:rsidR="00773484">
        <w:rPr>
          <w:color w:val="000000" w:themeColor="text1"/>
        </w:rPr>
        <w:t xml:space="preserve"> of SI</w:t>
      </w:r>
      <w:r w:rsidR="00392A95" w:rsidRPr="00D274A8">
        <w:rPr>
          <w:color w:val="000000" w:themeColor="text1"/>
        </w:rPr>
        <w:t xml:space="preserve">, </w:t>
      </w:r>
      <w:r w:rsidR="00D274A8" w:rsidRPr="00D274A8">
        <w:rPr>
          <w:color w:val="000000" w:themeColor="text1"/>
        </w:rPr>
        <w:t xml:space="preserve">its promotion </w:t>
      </w:r>
      <w:r w:rsidR="00D274A8">
        <w:rPr>
          <w:color w:val="000000" w:themeColor="text1"/>
        </w:rPr>
        <w:t>and adoption</w:t>
      </w:r>
      <w:r w:rsidR="00773484">
        <w:rPr>
          <w:color w:val="000000" w:themeColor="text1"/>
        </w:rPr>
        <w:t>,</w:t>
      </w:r>
      <w:r w:rsidR="00D274A8">
        <w:rPr>
          <w:color w:val="000000" w:themeColor="text1"/>
        </w:rPr>
        <w:t xml:space="preserve"> as well as</w:t>
      </w:r>
      <w:r w:rsidR="00D274A8" w:rsidRPr="00D274A8">
        <w:rPr>
          <w:color w:val="000000" w:themeColor="text1"/>
        </w:rPr>
        <w:t xml:space="preserve"> its outcomes on </w:t>
      </w:r>
      <w:r w:rsidR="00392A95" w:rsidRPr="00D274A8">
        <w:rPr>
          <w:color w:val="000000" w:themeColor="text1"/>
        </w:rPr>
        <w:t>wellbeing</w:t>
      </w:r>
      <w:r w:rsidR="00A57B1D">
        <w:rPr>
          <w:color w:val="000000" w:themeColor="text1"/>
        </w:rPr>
        <w:t>,</w:t>
      </w:r>
      <w:r w:rsidR="005947B8">
        <w:rPr>
          <w:color w:val="000000" w:themeColor="text1"/>
        </w:rPr>
        <w:t xml:space="preserve"> are to be addressed in the </w:t>
      </w:r>
      <w:r w:rsidR="00A57B1D">
        <w:rPr>
          <w:color w:val="000000" w:themeColor="text1"/>
        </w:rPr>
        <w:t>next steps</w:t>
      </w:r>
      <w:r w:rsidR="00D274A8" w:rsidRPr="00D274A8">
        <w:rPr>
          <w:color w:val="000000" w:themeColor="text1"/>
        </w:rPr>
        <w:t xml:space="preserve">. </w:t>
      </w:r>
      <w:r w:rsidR="00773484">
        <w:t xml:space="preserve">The </w:t>
      </w:r>
      <w:r w:rsidR="00D274A8">
        <w:t xml:space="preserve">integration of </w:t>
      </w:r>
      <w:r w:rsidR="00B038E4" w:rsidRPr="004E6263">
        <w:t xml:space="preserve">results </w:t>
      </w:r>
      <w:r w:rsidR="00D274A8">
        <w:t xml:space="preserve">from </w:t>
      </w:r>
      <w:r w:rsidR="00B038E4" w:rsidRPr="004E6263">
        <w:t xml:space="preserve">the scientific analysis </w:t>
      </w:r>
      <w:r w:rsidR="00D274A8">
        <w:t xml:space="preserve">and </w:t>
      </w:r>
      <w:r w:rsidR="00B038E4" w:rsidRPr="004E6263">
        <w:t>the guidance provided by the SITT</w:t>
      </w:r>
      <w:r w:rsidR="00773484">
        <w:t xml:space="preserve">, </w:t>
      </w:r>
      <w:r w:rsidR="00D274A8">
        <w:t>will</w:t>
      </w:r>
      <w:r w:rsidR="00B038E4" w:rsidRPr="004E6263">
        <w:t xml:space="preserve"> </w:t>
      </w:r>
      <w:r w:rsidR="00D274A8">
        <w:t xml:space="preserve">form the basis for the </w:t>
      </w:r>
      <w:r w:rsidR="00B038E4" w:rsidRPr="004E6263">
        <w:t xml:space="preserve">evaluation </w:t>
      </w:r>
      <w:r w:rsidR="00A57B1D">
        <w:t xml:space="preserve">methods and tools </w:t>
      </w:r>
      <w:r w:rsidR="00D274A8">
        <w:t xml:space="preserve">adopted </w:t>
      </w:r>
      <w:r w:rsidR="00B038E4" w:rsidRPr="004E6263">
        <w:t xml:space="preserve">in </w:t>
      </w:r>
      <w:r w:rsidR="00773484">
        <w:t xml:space="preserve">the </w:t>
      </w:r>
      <w:r w:rsidR="00B038E4" w:rsidRPr="004E6263">
        <w:t>SIMRA</w:t>
      </w:r>
      <w:r w:rsidR="00773484">
        <w:t xml:space="preserve"> case studies</w:t>
      </w:r>
      <w:r w:rsidR="00B038E4" w:rsidRPr="004E6263">
        <w:t>,</w:t>
      </w:r>
      <w:r w:rsidRPr="004E6263">
        <w:t xml:space="preserve"> </w:t>
      </w:r>
      <w:r w:rsidR="004E6263" w:rsidRPr="00610D5A">
        <w:t xml:space="preserve">which are scheduled to be </w:t>
      </w:r>
      <w:r w:rsidRPr="004E6263">
        <w:t>analys</w:t>
      </w:r>
      <w:r w:rsidR="004E6263" w:rsidRPr="00610D5A">
        <w:t>ed</w:t>
      </w:r>
      <w:r w:rsidRPr="004E6263">
        <w:t xml:space="preserve"> in 2018.</w:t>
      </w:r>
    </w:p>
    <w:p w14:paraId="71448F8A" w14:textId="77777777" w:rsidR="007D62C8" w:rsidRPr="004E6263" w:rsidRDefault="007D62C8" w:rsidP="00990126">
      <w:pPr>
        <w:pStyle w:val="Normaltext"/>
        <w:tabs>
          <w:tab w:val="left" w:pos="240"/>
        </w:tabs>
      </w:pPr>
    </w:p>
    <w:p w14:paraId="293AD309" w14:textId="7B98F8C7" w:rsidR="004E6263" w:rsidRPr="004E6263" w:rsidRDefault="004E6263" w:rsidP="004E6263">
      <w:pPr>
        <w:pStyle w:val="berschrift11"/>
      </w:pPr>
      <w:r>
        <w:t xml:space="preserve">Acknowledgements </w:t>
      </w:r>
    </w:p>
    <w:p w14:paraId="199CF186" w14:textId="0E42B9E7" w:rsidR="00F16985" w:rsidRPr="00610D5A" w:rsidRDefault="00590D70" w:rsidP="00610D5A">
      <w:pPr>
        <w:pStyle w:val="Body"/>
        <w:tabs>
          <w:tab w:val="center" w:pos="4513"/>
        </w:tabs>
        <w:spacing w:line="240" w:lineRule="auto"/>
        <w:jc w:val="both"/>
        <w:rPr>
          <w:sz w:val="19"/>
          <w:szCs w:val="19"/>
        </w:rPr>
      </w:pPr>
      <w:r w:rsidRPr="008C28A4">
        <w:rPr>
          <w:sz w:val="19"/>
          <w:szCs w:val="19"/>
        </w:rPr>
        <w:t>This project has received funding from the European Union</w:t>
      </w:r>
      <w:r w:rsidRPr="008C28A4">
        <w:rPr>
          <w:sz w:val="19"/>
          <w:szCs w:val="19"/>
          <w:lang w:val="fr-FR"/>
        </w:rPr>
        <w:t>’</w:t>
      </w:r>
      <w:r w:rsidRPr="008C28A4">
        <w:rPr>
          <w:sz w:val="19"/>
          <w:szCs w:val="19"/>
        </w:rPr>
        <w:t>s Horizon 2020 research and innovation programme under Grant Agreement No 677622</w:t>
      </w:r>
      <w:r>
        <w:rPr>
          <w:sz w:val="19"/>
          <w:szCs w:val="19"/>
        </w:rPr>
        <w:t>.</w:t>
      </w:r>
    </w:p>
    <w:p w14:paraId="34EA6C0C" w14:textId="416C8843" w:rsidR="009F49CA" w:rsidRPr="004E6263" w:rsidRDefault="00DD3975" w:rsidP="009F49CA">
      <w:pPr>
        <w:pStyle w:val="berschrift11"/>
      </w:pPr>
      <w:r w:rsidRPr="004E6263">
        <w:t>R</w:t>
      </w:r>
      <w:r w:rsidR="009F49CA" w:rsidRPr="004E6263">
        <w:t>eferences</w:t>
      </w:r>
    </w:p>
    <w:p w14:paraId="203FD9B2" w14:textId="514C2664" w:rsidR="009F49CA" w:rsidRPr="004E6263" w:rsidRDefault="009F49CA" w:rsidP="009F49CA">
      <w:pPr>
        <w:pStyle w:val="Normaltext"/>
        <w:tabs>
          <w:tab w:val="left" w:pos="240"/>
        </w:tabs>
      </w:pPr>
      <w:r w:rsidRPr="004E6263">
        <w:t>Ander</w:t>
      </w:r>
      <w:r w:rsidR="0009500B" w:rsidRPr="004E6263">
        <w:t>son, T., Curtis, A., Wittig, C.</w:t>
      </w:r>
      <w:r w:rsidRPr="004E6263">
        <w:t xml:space="preserve"> </w:t>
      </w:r>
      <w:r w:rsidR="0009500B" w:rsidRPr="004E6263">
        <w:t>(</w:t>
      </w:r>
      <w:r w:rsidRPr="004E6263">
        <w:t>2014</w:t>
      </w:r>
      <w:r w:rsidR="0009500B" w:rsidRPr="004E6263">
        <w:t>)</w:t>
      </w:r>
      <w:r w:rsidRPr="004E6263">
        <w:t xml:space="preserve">. </w:t>
      </w:r>
      <w:r w:rsidRPr="004E6263">
        <w:rPr>
          <w:i/>
        </w:rPr>
        <w:t>Definition and Theory in Social Innovation</w:t>
      </w:r>
      <w:r w:rsidRPr="004E6263">
        <w:t xml:space="preserve">, Master of Arts in Social Innovation, Danube University, </w:t>
      </w:r>
      <w:proofErr w:type="spellStart"/>
      <w:r w:rsidRPr="004E6263">
        <w:t>Krems</w:t>
      </w:r>
      <w:proofErr w:type="spellEnd"/>
      <w:r w:rsidRPr="004E6263">
        <w:t>.</w:t>
      </w:r>
    </w:p>
    <w:p w14:paraId="4C8F4EE1" w14:textId="3C4DA1AC" w:rsidR="009F49CA" w:rsidRPr="004E6263" w:rsidRDefault="0009500B" w:rsidP="009F49CA">
      <w:pPr>
        <w:pStyle w:val="Normaltext"/>
        <w:tabs>
          <w:tab w:val="left" w:pos="240"/>
        </w:tabs>
      </w:pPr>
      <w:r w:rsidRPr="004E6263">
        <w:t>BEPA</w:t>
      </w:r>
      <w:r w:rsidR="009F49CA" w:rsidRPr="004E6263">
        <w:t xml:space="preserve"> </w:t>
      </w:r>
      <w:r w:rsidRPr="004E6263">
        <w:t>(</w:t>
      </w:r>
      <w:r w:rsidR="009F49CA" w:rsidRPr="004E6263">
        <w:t>2011</w:t>
      </w:r>
      <w:r w:rsidRPr="004E6263">
        <w:t>)</w:t>
      </w:r>
      <w:r w:rsidR="009F49CA" w:rsidRPr="004E6263">
        <w:t xml:space="preserve">. </w:t>
      </w:r>
      <w:r w:rsidR="009F49CA" w:rsidRPr="004E6263">
        <w:rPr>
          <w:i/>
        </w:rPr>
        <w:t>Empowering people, driving change: Social innovation in the European Union</w:t>
      </w:r>
      <w:r w:rsidR="009F49CA" w:rsidRPr="004E6263">
        <w:t>. Brussels: Bureau of European Policy Advisers, European Commission.</w:t>
      </w:r>
    </w:p>
    <w:p w14:paraId="30D1DB54" w14:textId="48B2A33F" w:rsidR="009F49CA" w:rsidRPr="00610D5A" w:rsidRDefault="0009500B" w:rsidP="009F49CA">
      <w:pPr>
        <w:pStyle w:val="Normaltext"/>
        <w:tabs>
          <w:tab w:val="left" w:pos="240"/>
        </w:tabs>
      </w:pPr>
      <w:proofErr w:type="spellStart"/>
      <w:r w:rsidRPr="004E6263">
        <w:t>Cajaiba</w:t>
      </w:r>
      <w:proofErr w:type="spellEnd"/>
      <w:r w:rsidRPr="004E6263">
        <w:t>-Santana, G.</w:t>
      </w:r>
      <w:r w:rsidR="009F49CA" w:rsidRPr="004E6263">
        <w:t xml:space="preserve"> </w:t>
      </w:r>
      <w:r w:rsidRPr="004E6263">
        <w:t>(</w:t>
      </w:r>
      <w:r w:rsidR="009F49CA" w:rsidRPr="004E6263">
        <w:t>2014</w:t>
      </w:r>
      <w:r w:rsidRPr="004E6263">
        <w:t>).</w:t>
      </w:r>
      <w:r w:rsidR="009F49CA" w:rsidRPr="004E6263">
        <w:t xml:space="preserve"> Social innovation: Moving the field forward. A conceptual framework. </w:t>
      </w:r>
      <w:r w:rsidR="009F49CA" w:rsidRPr="004E6263">
        <w:rPr>
          <w:i/>
        </w:rPr>
        <w:t>Technological Forecasting and Social Change,</w:t>
      </w:r>
      <w:r w:rsidRPr="004E6263">
        <w:t xml:space="preserve"> 82:</w:t>
      </w:r>
      <w:r w:rsidR="009F49CA" w:rsidRPr="004E6263">
        <w:t xml:space="preserve"> 42–51.</w:t>
      </w:r>
    </w:p>
    <w:p w14:paraId="600D9304" w14:textId="62981A4F" w:rsidR="009F49CA" w:rsidRPr="004E6263" w:rsidRDefault="009F49CA" w:rsidP="009F49CA">
      <w:pPr>
        <w:pStyle w:val="Normaltext"/>
        <w:tabs>
          <w:tab w:val="left" w:pos="240"/>
        </w:tabs>
      </w:pPr>
      <w:proofErr w:type="spellStart"/>
      <w:r w:rsidRPr="004E6263">
        <w:t>Moulaert</w:t>
      </w:r>
      <w:proofErr w:type="spellEnd"/>
      <w:r w:rsidRPr="004E6263">
        <w:t>, F., MacCallum</w:t>
      </w:r>
      <w:r w:rsidR="0009500B" w:rsidRPr="004E6263">
        <w:t xml:space="preserve">, D., Mehmood, A., </w:t>
      </w:r>
      <w:proofErr w:type="spellStart"/>
      <w:r w:rsidR="0009500B" w:rsidRPr="004E6263">
        <w:t>Hamdouch</w:t>
      </w:r>
      <w:proofErr w:type="spellEnd"/>
      <w:r w:rsidR="0009500B" w:rsidRPr="004E6263">
        <w:t>, A.</w:t>
      </w:r>
      <w:r w:rsidRPr="004E6263">
        <w:t xml:space="preserve"> (Eds.) </w:t>
      </w:r>
      <w:r w:rsidR="0009500B" w:rsidRPr="004E6263">
        <w:t>(</w:t>
      </w:r>
      <w:r w:rsidRPr="004E6263">
        <w:t>2013</w:t>
      </w:r>
      <w:r w:rsidR="0009500B" w:rsidRPr="004E6263">
        <w:t>)</w:t>
      </w:r>
      <w:r w:rsidRPr="004E6263">
        <w:t xml:space="preserve">. </w:t>
      </w:r>
      <w:r w:rsidRPr="004E6263">
        <w:rPr>
          <w:i/>
        </w:rPr>
        <w:t>The international</w:t>
      </w:r>
      <w:r w:rsidR="004E6263" w:rsidRPr="00610D5A">
        <w:rPr>
          <w:i/>
        </w:rPr>
        <w:t xml:space="preserve"> </w:t>
      </w:r>
      <w:r w:rsidRPr="004E6263">
        <w:rPr>
          <w:i/>
        </w:rPr>
        <w:t>handbook on social innovation</w:t>
      </w:r>
      <w:r w:rsidRPr="004E6263">
        <w:t>. Cheltenham: Edward Elgar Publishing.</w:t>
      </w:r>
    </w:p>
    <w:p w14:paraId="03CDF379" w14:textId="39B134D2" w:rsidR="009F49CA" w:rsidRPr="004E6263" w:rsidRDefault="009F49CA" w:rsidP="009F49CA">
      <w:pPr>
        <w:pStyle w:val="Normaltext"/>
        <w:tabs>
          <w:tab w:val="left" w:pos="240"/>
        </w:tabs>
      </w:pPr>
      <w:proofErr w:type="spellStart"/>
      <w:r w:rsidRPr="004E6263">
        <w:t>Mulgan</w:t>
      </w:r>
      <w:proofErr w:type="spellEnd"/>
      <w:r w:rsidRPr="004E6263">
        <w:t xml:space="preserve">, G., 2007. </w:t>
      </w:r>
      <w:r w:rsidRPr="004E6263">
        <w:rPr>
          <w:i/>
        </w:rPr>
        <w:t>Social innovation: what it is, why it matter</w:t>
      </w:r>
      <w:r w:rsidR="0009500B" w:rsidRPr="004E6263">
        <w:rPr>
          <w:i/>
        </w:rPr>
        <w:t>s and how it can be accelerated</w:t>
      </w:r>
      <w:r w:rsidR="0009500B" w:rsidRPr="004E6263">
        <w:t>.</w:t>
      </w:r>
      <w:r w:rsidRPr="004E6263">
        <w:t xml:space="preserve"> Said Business School, Oxford, Working Paper.</w:t>
      </w:r>
    </w:p>
    <w:p w14:paraId="0F021578" w14:textId="2B32BD5F" w:rsidR="009F49CA" w:rsidRPr="004E6263" w:rsidRDefault="009F49CA" w:rsidP="009F49CA">
      <w:pPr>
        <w:pStyle w:val="Normaltext"/>
        <w:tabs>
          <w:tab w:val="left" w:pos="240"/>
        </w:tabs>
      </w:pPr>
      <w:r w:rsidRPr="004E6263">
        <w:t xml:space="preserve">Neumeier, S., 2017. Social innovation in rural development: identifying the key factors of success. </w:t>
      </w:r>
      <w:r w:rsidRPr="004E6263">
        <w:rPr>
          <w:i/>
        </w:rPr>
        <w:t>Geographical Journal,</w:t>
      </w:r>
      <w:r w:rsidR="0009500B" w:rsidRPr="004E6263">
        <w:t xml:space="preserve"> 183:</w:t>
      </w:r>
      <w:r w:rsidRPr="004E6263">
        <w:t xml:space="preserve"> 34–46. </w:t>
      </w:r>
    </w:p>
    <w:p w14:paraId="5C67C264" w14:textId="7A175AE6" w:rsidR="007F423C" w:rsidRPr="00BF3817" w:rsidRDefault="00610D5A" w:rsidP="00610D5A">
      <w:pPr>
        <w:pStyle w:val="Normaltext"/>
        <w:spacing w:before="80"/>
      </w:pPr>
      <w:proofErr w:type="spellStart"/>
      <w:r w:rsidRPr="00610D5A">
        <w:t>Polman</w:t>
      </w:r>
      <w:proofErr w:type="spellEnd"/>
      <w:r w:rsidRPr="00610D5A">
        <w:t>,</w:t>
      </w:r>
      <w:r>
        <w:t xml:space="preserve"> N., Slee B.,</w:t>
      </w:r>
      <w:r w:rsidRPr="00610D5A">
        <w:t xml:space="preserve"> </w:t>
      </w:r>
      <w:proofErr w:type="spellStart"/>
      <w:r w:rsidRPr="00610D5A">
        <w:t>Kluvánková</w:t>
      </w:r>
      <w:proofErr w:type="spellEnd"/>
      <w:r w:rsidRPr="00610D5A">
        <w:t xml:space="preserve">, </w:t>
      </w:r>
      <w:r>
        <w:t xml:space="preserve">T., </w:t>
      </w:r>
      <w:proofErr w:type="spellStart"/>
      <w:r w:rsidRPr="00610D5A">
        <w:t>Dijkshoorn</w:t>
      </w:r>
      <w:proofErr w:type="spellEnd"/>
      <w:r w:rsidRPr="00610D5A">
        <w:t xml:space="preserve">, </w:t>
      </w:r>
      <w:r>
        <w:t xml:space="preserve">M., </w:t>
      </w:r>
      <w:proofErr w:type="spellStart"/>
      <w:r w:rsidRPr="00610D5A">
        <w:t>Gezik</w:t>
      </w:r>
      <w:proofErr w:type="spellEnd"/>
      <w:r w:rsidRPr="00610D5A">
        <w:t>,</w:t>
      </w:r>
      <w:r>
        <w:t xml:space="preserve"> V.,</w:t>
      </w:r>
      <w:r w:rsidRPr="00610D5A">
        <w:t xml:space="preserve"> </w:t>
      </w:r>
      <w:r>
        <w:t>Nijnik, M</w:t>
      </w:r>
      <w:r w:rsidRPr="00BF1433">
        <w:t>., Soma,</w:t>
      </w:r>
      <w:r w:rsidR="00BF1433" w:rsidRPr="00BF1433">
        <w:t xml:space="preserve"> K.,</w:t>
      </w:r>
      <w:r w:rsidRPr="00BF1433">
        <w:t xml:space="preserve"> </w:t>
      </w:r>
      <w:r w:rsidR="00D274A8" w:rsidRPr="00BF1433">
        <w:t>Secco,</w:t>
      </w:r>
      <w:r w:rsidR="00BF1433">
        <w:t xml:space="preserve"> L.,</w:t>
      </w:r>
      <w:r w:rsidR="00D274A8">
        <w:t xml:space="preserve"> </w:t>
      </w:r>
      <w:r w:rsidR="00BF1433">
        <w:t xml:space="preserve">Weiss, G. </w:t>
      </w:r>
      <w:r w:rsidR="00392A95">
        <w:t xml:space="preserve">Classification of Social Innovations for Marginalized Rural Areas. </w:t>
      </w:r>
      <w:r w:rsidRPr="00610D5A">
        <w:t>SIMRA Report D2.1. May 2017.</w:t>
      </w:r>
    </w:p>
    <w:sectPr w:rsidR="007F423C" w:rsidRPr="00BF3817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474" w:header="709" w:footer="709" w:gutter="0"/>
      <w:cols w:num="2" w:space="720" w:equalWidth="0">
        <w:col w:w="4295" w:space="708"/>
        <w:col w:w="42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C7D7" w14:textId="77777777" w:rsidR="0080030D" w:rsidRDefault="0080030D">
      <w:r>
        <w:separator/>
      </w:r>
    </w:p>
  </w:endnote>
  <w:endnote w:type="continuationSeparator" w:id="0">
    <w:p w14:paraId="739C65A6" w14:textId="77777777" w:rsidR="0080030D" w:rsidRDefault="008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01FE" w14:textId="77777777" w:rsidR="00420522" w:rsidRDefault="00420522" w:rsidP="00BD29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5F5919" w14:textId="77777777" w:rsidR="00420522" w:rsidRDefault="00420522" w:rsidP="00CD5A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F146" w14:textId="77777777" w:rsidR="00420522" w:rsidRPr="00405D42" w:rsidRDefault="00420522" w:rsidP="00CD5A2F">
    <w:pPr>
      <w:pStyle w:val="Fuzeile"/>
      <w:ind w:right="360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4136" w14:textId="77777777" w:rsidR="0080030D" w:rsidRDefault="0080030D">
      <w:r>
        <w:separator/>
      </w:r>
    </w:p>
  </w:footnote>
  <w:footnote w:type="continuationSeparator" w:id="0">
    <w:p w14:paraId="032EF04F" w14:textId="77777777" w:rsidR="0080030D" w:rsidRDefault="0080030D">
      <w:r>
        <w:continuationSeparator/>
      </w:r>
    </w:p>
  </w:footnote>
  <w:footnote w:id="1">
    <w:p w14:paraId="06F9D3A3" w14:textId="7FF6F34B" w:rsidR="00BC53D4" w:rsidRPr="00BC53D4" w:rsidRDefault="00BC53D4" w:rsidP="005957CE">
      <w:pPr>
        <w:pStyle w:val="Funotentext"/>
        <w:spacing w:line="192" w:lineRule="auto"/>
        <w:rPr>
          <w:rFonts w:ascii="Verdana" w:hAnsi="Verdana"/>
          <w:sz w:val="12"/>
          <w:lang w:val="it-IT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BC53D4">
        <w:rPr>
          <w:rFonts w:ascii="Verdana" w:hAnsi="Verdana"/>
          <w:sz w:val="12"/>
          <w:lang w:val="en-GB"/>
        </w:rPr>
        <w:t>Dipartimento</w:t>
      </w:r>
      <w:proofErr w:type="spellEnd"/>
      <w:r w:rsidRPr="00BC53D4">
        <w:rPr>
          <w:rFonts w:ascii="Verdana" w:hAnsi="Verdana"/>
          <w:sz w:val="12"/>
          <w:lang w:val="en-GB"/>
        </w:rPr>
        <w:t xml:space="preserve"> </w:t>
      </w:r>
      <w:proofErr w:type="spellStart"/>
      <w:r w:rsidRPr="00BC53D4">
        <w:rPr>
          <w:rFonts w:ascii="Verdana" w:hAnsi="Verdana"/>
          <w:sz w:val="12"/>
          <w:lang w:val="en-GB"/>
        </w:rPr>
        <w:t>Territorio</w:t>
      </w:r>
      <w:proofErr w:type="spellEnd"/>
      <w:r w:rsidRPr="00BC53D4">
        <w:rPr>
          <w:rFonts w:ascii="Verdana" w:hAnsi="Verdana"/>
          <w:sz w:val="12"/>
          <w:lang w:val="en-GB"/>
        </w:rPr>
        <w:t xml:space="preserve"> e </w:t>
      </w:r>
      <w:proofErr w:type="spellStart"/>
      <w:r w:rsidRPr="00BC53D4">
        <w:rPr>
          <w:rFonts w:ascii="Verdana" w:hAnsi="Verdana"/>
          <w:sz w:val="12"/>
          <w:lang w:val="en-GB"/>
        </w:rPr>
        <w:t>Sistemi</w:t>
      </w:r>
      <w:proofErr w:type="spellEnd"/>
      <w:r w:rsidRPr="00BC53D4">
        <w:rPr>
          <w:rFonts w:ascii="Verdana" w:hAnsi="Verdana"/>
          <w:sz w:val="12"/>
          <w:lang w:val="en-GB"/>
        </w:rPr>
        <w:t xml:space="preserve"> Agro-</w:t>
      </w:r>
      <w:proofErr w:type="spellStart"/>
      <w:r w:rsidRPr="00BC53D4">
        <w:rPr>
          <w:rFonts w:ascii="Verdana" w:hAnsi="Verdana"/>
          <w:sz w:val="12"/>
          <w:lang w:val="en-GB"/>
        </w:rPr>
        <w:t>Forestali</w:t>
      </w:r>
      <w:proofErr w:type="spellEnd"/>
      <w:r w:rsidRPr="00BC53D4">
        <w:rPr>
          <w:rFonts w:ascii="Verdana" w:hAnsi="Verdana"/>
          <w:sz w:val="12"/>
          <w:lang w:val="en-GB"/>
        </w:rPr>
        <w:t xml:space="preserve"> (TESAF), </w:t>
      </w:r>
      <w:proofErr w:type="spellStart"/>
      <w:r w:rsidRPr="00BC53D4">
        <w:rPr>
          <w:rFonts w:ascii="Verdana" w:hAnsi="Verdana"/>
          <w:sz w:val="12"/>
          <w:lang w:val="en-GB"/>
        </w:rPr>
        <w:t>Padova</w:t>
      </w:r>
      <w:proofErr w:type="spellEnd"/>
      <w:r w:rsidRPr="00BC53D4">
        <w:rPr>
          <w:rFonts w:ascii="Verdana" w:hAnsi="Verdana"/>
          <w:sz w:val="12"/>
          <w:lang w:val="en-GB"/>
        </w:rPr>
        <w:t xml:space="preserve"> University, Italy</w:t>
      </w:r>
      <w:r>
        <w:rPr>
          <w:rFonts w:ascii="Verdana" w:hAnsi="Verdana"/>
          <w:sz w:val="12"/>
          <w:lang w:val="en-GB"/>
        </w:rPr>
        <w:t xml:space="preserve"> </w:t>
      </w:r>
      <w:r>
        <w:rPr>
          <w:rFonts w:ascii="Verdana" w:hAnsi="Verdana"/>
          <w:sz w:val="12"/>
          <w:lang w:val="it-IT"/>
        </w:rPr>
        <w:t>(</w:t>
      </w:r>
      <w:hyperlink r:id="rId1" w:history="1">
        <w:r w:rsidR="00DC77E0" w:rsidRPr="00A84307">
          <w:rPr>
            <w:rStyle w:val="Hyperlink"/>
            <w:rFonts w:ascii="Verdana" w:hAnsi="Verdana"/>
            <w:sz w:val="12"/>
            <w:lang w:val="it-IT"/>
          </w:rPr>
          <w:t>laura.secco@unipd.it</w:t>
        </w:r>
      </w:hyperlink>
      <w:r>
        <w:rPr>
          <w:rFonts w:ascii="Verdana" w:hAnsi="Verdana"/>
          <w:sz w:val="12"/>
          <w:lang w:val="it-IT"/>
        </w:rPr>
        <w:t>)</w:t>
      </w:r>
      <w:r w:rsidR="00DC77E0">
        <w:rPr>
          <w:rFonts w:ascii="Verdana" w:hAnsi="Verdana"/>
          <w:sz w:val="12"/>
          <w:lang w:val="it-IT"/>
        </w:rPr>
        <w:t xml:space="preserve">. </w:t>
      </w:r>
    </w:p>
  </w:footnote>
  <w:footnote w:id="2">
    <w:p w14:paraId="3938D1CF" w14:textId="34EE6786" w:rsidR="00BC53D4" w:rsidRPr="00BC53D4" w:rsidRDefault="00BC53D4" w:rsidP="005957CE">
      <w:pPr>
        <w:pStyle w:val="Funotentext"/>
        <w:spacing w:line="192" w:lineRule="auto"/>
        <w:rPr>
          <w:rFonts w:ascii="Verdana" w:hAnsi="Verdana"/>
          <w:sz w:val="12"/>
          <w:lang w:val="en-GB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746C5A">
        <w:rPr>
          <w:rFonts w:ascii="Verdana" w:hAnsi="Verdana"/>
          <w:sz w:val="12"/>
          <w:lang w:val="en-GB"/>
        </w:rPr>
        <w:t>Etifor</w:t>
      </w:r>
      <w:proofErr w:type="spellEnd"/>
      <w:r w:rsidRPr="00BC53D4">
        <w:rPr>
          <w:rFonts w:ascii="Verdana" w:hAnsi="Verdana"/>
          <w:sz w:val="12"/>
          <w:lang w:val="en-GB"/>
        </w:rPr>
        <w:t xml:space="preserve">, </w:t>
      </w:r>
      <w:r w:rsidR="00746C5A">
        <w:rPr>
          <w:rFonts w:ascii="Verdana" w:hAnsi="Verdana"/>
          <w:sz w:val="12"/>
          <w:lang w:val="en-GB"/>
        </w:rPr>
        <w:t>s</w:t>
      </w:r>
      <w:r w:rsidRPr="00BC53D4">
        <w:rPr>
          <w:rFonts w:ascii="Verdana" w:hAnsi="Verdana"/>
          <w:sz w:val="12"/>
          <w:lang w:val="en-GB"/>
        </w:rPr>
        <w:t xml:space="preserve">pin-off </w:t>
      </w:r>
      <w:r w:rsidR="00746C5A">
        <w:rPr>
          <w:rFonts w:ascii="Verdana" w:hAnsi="Verdana"/>
          <w:sz w:val="12"/>
          <w:lang w:val="en-GB"/>
        </w:rPr>
        <w:t xml:space="preserve">from the </w:t>
      </w:r>
      <w:r w:rsidRPr="00BC53D4">
        <w:rPr>
          <w:rFonts w:ascii="Verdana" w:hAnsi="Verdana"/>
          <w:sz w:val="12"/>
          <w:lang w:val="en-GB"/>
        </w:rPr>
        <w:t>Padova University, Italy</w:t>
      </w:r>
    </w:p>
  </w:footnote>
  <w:footnote w:id="3">
    <w:p w14:paraId="4807DB16" w14:textId="77777777" w:rsidR="00BC53D4" w:rsidRPr="00BC53D4" w:rsidRDefault="00BC53D4" w:rsidP="005957CE">
      <w:pPr>
        <w:pStyle w:val="Funotentext"/>
        <w:spacing w:line="192" w:lineRule="auto"/>
        <w:rPr>
          <w:rFonts w:ascii="Verdana" w:hAnsi="Verdana"/>
          <w:sz w:val="12"/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BC53D4">
        <w:rPr>
          <w:rFonts w:ascii="Verdana" w:hAnsi="Verdana"/>
          <w:sz w:val="12"/>
          <w:lang w:val="en-GB"/>
        </w:rPr>
        <w:t>SPECTRA - Centre of Excellence EU: Slovak University of Technology, Slovak Academy of Sciences and Faculty of Management Comenius University, Bratislava, Slovak Republic</w:t>
      </w:r>
    </w:p>
  </w:footnote>
  <w:footnote w:id="4">
    <w:p w14:paraId="706CB56E" w14:textId="77777777" w:rsidR="00420522" w:rsidRPr="009913B4" w:rsidRDefault="00420522" w:rsidP="00F445EB">
      <w:pPr>
        <w:pStyle w:val="Footnote"/>
        <w:jc w:val="both"/>
        <w:rPr>
          <w:color w:val="FF0000"/>
          <w:lang w:val="en-GB"/>
        </w:rPr>
      </w:pPr>
    </w:p>
  </w:footnote>
  <w:footnote w:id="5">
    <w:p w14:paraId="64CBB871" w14:textId="38A0BB38" w:rsidR="00082B9D" w:rsidRPr="00990126" w:rsidRDefault="00082B9D" w:rsidP="00610D5A">
      <w:pPr>
        <w:pStyle w:val="Funotentext"/>
        <w:jc w:val="both"/>
        <w:rPr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="00E55FA3">
        <w:rPr>
          <w:rFonts w:ascii="Verdana" w:hAnsi="Verdana"/>
          <w:sz w:val="12"/>
          <w:lang w:val="en-GB"/>
        </w:rPr>
        <w:t>L</w:t>
      </w:r>
      <w:r w:rsidR="00746C5A">
        <w:rPr>
          <w:rFonts w:ascii="Verdana" w:hAnsi="Verdana"/>
          <w:sz w:val="12"/>
          <w:lang w:val="en-GB"/>
        </w:rPr>
        <w:t xml:space="preserve">ed by </w:t>
      </w:r>
      <w:r>
        <w:rPr>
          <w:rFonts w:ascii="Verdana" w:hAnsi="Verdana"/>
          <w:sz w:val="12"/>
          <w:lang w:val="en-GB"/>
        </w:rPr>
        <w:t xml:space="preserve">University of Padova, </w:t>
      </w:r>
      <w:r w:rsidR="00E55FA3">
        <w:rPr>
          <w:rFonts w:ascii="Verdana" w:hAnsi="Verdana"/>
          <w:sz w:val="12"/>
          <w:lang w:val="en-GB"/>
        </w:rPr>
        <w:t>the first phase included:</w:t>
      </w:r>
      <w:r w:rsidRPr="00082B9D">
        <w:rPr>
          <w:rFonts w:ascii="Verdana" w:hAnsi="Verdana"/>
          <w:sz w:val="12"/>
          <w:lang w:val="en-GB"/>
        </w:rPr>
        <w:t xml:space="preserve"> International </w:t>
      </w:r>
      <w:proofErr w:type="spellStart"/>
      <w:r w:rsidRPr="00082B9D">
        <w:rPr>
          <w:rFonts w:ascii="Verdana" w:hAnsi="Verdana"/>
          <w:sz w:val="12"/>
          <w:lang w:val="en-GB"/>
        </w:rPr>
        <w:t>Center</w:t>
      </w:r>
      <w:proofErr w:type="spellEnd"/>
      <w:r w:rsidRPr="00082B9D">
        <w:rPr>
          <w:rFonts w:ascii="Verdana" w:hAnsi="Verdana"/>
          <w:sz w:val="12"/>
          <w:lang w:val="en-GB"/>
        </w:rPr>
        <w:t xml:space="preserve"> for Research on the Envi</w:t>
      </w:r>
      <w:r w:rsidR="00746C5A">
        <w:rPr>
          <w:rFonts w:ascii="Verdana" w:hAnsi="Verdana"/>
          <w:sz w:val="12"/>
          <w:lang w:val="en-GB"/>
        </w:rPr>
        <w:t>ronment and the Economy (</w:t>
      </w:r>
      <w:r w:rsidRPr="00082B9D">
        <w:rPr>
          <w:rFonts w:ascii="Verdana" w:hAnsi="Verdana"/>
          <w:sz w:val="12"/>
          <w:lang w:val="en-GB"/>
        </w:rPr>
        <w:t>Greece), University of Foggi</w:t>
      </w:r>
      <w:r w:rsidR="00746C5A">
        <w:rPr>
          <w:rFonts w:ascii="Verdana" w:hAnsi="Verdana"/>
          <w:sz w:val="12"/>
          <w:lang w:val="en-GB"/>
        </w:rPr>
        <w:t>a (</w:t>
      </w:r>
      <w:r w:rsidRPr="00082B9D">
        <w:rPr>
          <w:rFonts w:ascii="Verdana" w:hAnsi="Verdana"/>
          <w:sz w:val="12"/>
          <w:lang w:val="en-GB"/>
        </w:rPr>
        <w:t xml:space="preserve">Italy), </w:t>
      </w:r>
      <w:r w:rsidR="00746C5A">
        <w:rPr>
          <w:rFonts w:ascii="Verdana" w:hAnsi="Verdana"/>
          <w:sz w:val="12"/>
          <w:lang w:val="en-GB"/>
        </w:rPr>
        <w:t>European Forest Institute (</w:t>
      </w:r>
      <w:r w:rsidRPr="00082B9D">
        <w:rPr>
          <w:rFonts w:ascii="Verdana" w:hAnsi="Verdana"/>
          <w:sz w:val="12"/>
          <w:lang w:val="en-GB"/>
        </w:rPr>
        <w:t>Finland), Agricultural Eco</w:t>
      </w:r>
      <w:r w:rsidR="00746C5A">
        <w:rPr>
          <w:rFonts w:ascii="Verdana" w:hAnsi="Verdana"/>
          <w:sz w:val="12"/>
          <w:lang w:val="en-GB"/>
        </w:rPr>
        <w:t>nomics Research Institute (</w:t>
      </w:r>
      <w:r w:rsidRPr="00082B9D">
        <w:rPr>
          <w:rFonts w:ascii="Verdana" w:hAnsi="Verdana"/>
          <w:sz w:val="12"/>
          <w:lang w:val="en-GB"/>
        </w:rPr>
        <w:t>The Neth</w:t>
      </w:r>
      <w:r w:rsidRPr="00EE1D95">
        <w:rPr>
          <w:rFonts w:ascii="Verdana" w:hAnsi="Verdana"/>
          <w:sz w:val="12"/>
          <w:lang w:val="en-GB"/>
        </w:rPr>
        <w:t xml:space="preserve">erlands), </w:t>
      </w:r>
      <w:r w:rsidR="00F47991" w:rsidRPr="00EE1D95">
        <w:rPr>
          <w:rFonts w:ascii="Verdana" w:hAnsi="Verdana"/>
          <w:sz w:val="12"/>
          <w:lang w:val="en-GB"/>
        </w:rPr>
        <w:t xml:space="preserve">James Hutton Institute, </w:t>
      </w:r>
      <w:r w:rsidR="00746C5A">
        <w:rPr>
          <w:rFonts w:ascii="Verdana" w:hAnsi="Verdana"/>
          <w:sz w:val="12"/>
          <w:lang w:val="en-GB"/>
        </w:rPr>
        <w:t>Rural Development Company (</w:t>
      </w:r>
      <w:r w:rsidRPr="00610D5A">
        <w:rPr>
          <w:rFonts w:ascii="Verdana" w:hAnsi="Verdana"/>
          <w:sz w:val="12"/>
          <w:lang w:val="en-GB"/>
        </w:rPr>
        <w:t xml:space="preserve">UK), </w:t>
      </w:r>
      <w:proofErr w:type="spellStart"/>
      <w:r w:rsidRPr="00610D5A">
        <w:rPr>
          <w:rFonts w:ascii="Verdana" w:hAnsi="Verdana"/>
          <w:sz w:val="12"/>
          <w:lang w:val="en-GB"/>
        </w:rPr>
        <w:t>Accademia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Pr="00610D5A">
        <w:rPr>
          <w:rFonts w:ascii="Verdana" w:hAnsi="Verdana"/>
          <w:sz w:val="12"/>
          <w:lang w:val="en-GB"/>
        </w:rPr>
        <w:t>Europea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per la </w:t>
      </w:r>
      <w:proofErr w:type="spellStart"/>
      <w:r w:rsidRPr="00610D5A">
        <w:rPr>
          <w:rFonts w:ascii="Verdana" w:hAnsi="Verdana"/>
          <w:sz w:val="12"/>
          <w:lang w:val="en-GB"/>
        </w:rPr>
        <w:t>ricerca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Pr="00610D5A">
        <w:rPr>
          <w:rFonts w:ascii="Verdana" w:hAnsi="Verdana"/>
          <w:sz w:val="12"/>
          <w:lang w:val="en-GB"/>
        </w:rPr>
        <w:t>applicata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Pr="00610D5A">
        <w:rPr>
          <w:rFonts w:ascii="Verdana" w:hAnsi="Verdana"/>
          <w:sz w:val="12"/>
          <w:lang w:val="en-GB"/>
        </w:rPr>
        <w:t>ed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Pr="00610D5A">
        <w:rPr>
          <w:rFonts w:ascii="Verdana" w:hAnsi="Verdana"/>
          <w:sz w:val="12"/>
          <w:lang w:val="en-GB"/>
        </w:rPr>
        <w:t>il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Pr="00610D5A">
        <w:rPr>
          <w:rFonts w:ascii="Verdana" w:hAnsi="Verdana"/>
          <w:sz w:val="12"/>
          <w:lang w:val="en-GB"/>
        </w:rPr>
        <w:t>Perfezionamento</w:t>
      </w:r>
      <w:proofErr w:type="spellEnd"/>
      <w:r w:rsidRPr="00610D5A">
        <w:rPr>
          <w:rFonts w:ascii="Verdana" w:hAnsi="Verdana"/>
          <w:sz w:val="12"/>
          <w:lang w:val="en-GB"/>
        </w:rPr>
        <w:t xml:space="preserve"> </w:t>
      </w:r>
      <w:proofErr w:type="spellStart"/>
      <w:r w:rsidR="00746C5A">
        <w:rPr>
          <w:rFonts w:ascii="Verdana" w:hAnsi="Verdana"/>
          <w:sz w:val="12"/>
          <w:lang w:val="en-GB"/>
        </w:rPr>
        <w:t>Professionale</w:t>
      </w:r>
      <w:proofErr w:type="spellEnd"/>
      <w:r w:rsidR="00746C5A">
        <w:rPr>
          <w:rFonts w:ascii="Verdana" w:hAnsi="Verdana"/>
          <w:sz w:val="12"/>
          <w:lang w:val="en-GB"/>
        </w:rPr>
        <w:t xml:space="preserve"> Bolzano (</w:t>
      </w:r>
      <w:r w:rsidRPr="00610D5A">
        <w:rPr>
          <w:rFonts w:ascii="Verdana" w:hAnsi="Verdana"/>
          <w:sz w:val="12"/>
          <w:lang w:val="en-GB"/>
        </w:rPr>
        <w:t>Italy), Centre Technolog</w:t>
      </w:r>
      <w:r w:rsidR="00746C5A">
        <w:rPr>
          <w:rFonts w:ascii="Verdana" w:hAnsi="Verdana"/>
          <w:sz w:val="12"/>
          <w:lang w:val="en-GB"/>
        </w:rPr>
        <w:t xml:space="preserve">ic </w:t>
      </w:r>
      <w:proofErr w:type="spellStart"/>
      <w:r w:rsidR="00746C5A">
        <w:rPr>
          <w:rFonts w:ascii="Verdana" w:hAnsi="Verdana"/>
          <w:sz w:val="12"/>
          <w:lang w:val="en-GB"/>
        </w:rPr>
        <w:t>Forestal</w:t>
      </w:r>
      <w:proofErr w:type="spellEnd"/>
      <w:r w:rsidR="00746C5A">
        <w:rPr>
          <w:rFonts w:ascii="Verdana" w:hAnsi="Verdana"/>
          <w:sz w:val="12"/>
          <w:lang w:val="en-GB"/>
        </w:rPr>
        <w:t xml:space="preserve"> de </w:t>
      </w:r>
      <w:proofErr w:type="spellStart"/>
      <w:r w:rsidR="00746C5A">
        <w:rPr>
          <w:rFonts w:ascii="Verdana" w:hAnsi="Verdana"/>
          <w:sz w:val="12"/>
          <w:lang w:val="en-GB"/>
        </w:rPr>
        <w:t>Catalunya</w:t>
      </w:r>
      <w:proofErr w:type="spellEnd"/>
      <w:r w:rsidR="00746C5A">
        <w:rPr>
          <w:rFonts w:ascii="Verdana" w:hAnsi="Verdana"/>
          <w:sz w:val="12"/>
          <w:lang w:val="en-GB"/>
        </w:rPr>
        <w:t xml:space="preserve"> (</w:t>
      </w:r>
      <w:r w:rsidRPr="00610D5A">
        <w:rPr>
          <w:rFonts w:ascii="Verdana" w:hAnsi="Verdana"/>
          <w:sz w:val="12"/>
          <w:lang w:val="en-GB"/>
        </w:rPr>
        <w:t>Spain),</w:t>
      </w:r>
      <w:r w:rsidRPr="00EE1D95">
        <w:rPr>
          <w:rFonts w:ascii="Verdana" w:hAnsi="Verdana"/>
          <w:sz w:val="12"/>
          <w:lang w:val="en-GB"/>
        </w:rPr>
        <w:t xml:space="preserve"> </w:t>
      </w:r>
      <w:r w:rsidRPr="00082B9D">
        <w:rPr>
          <w:rFonts w:ascii="Verdana" w:hAnsi="Verdana"/>
          <w:sz w:val="12"/>
          <w:lang w:val="en-GB"/>
        </w:rPr>
        <w:t>University of Natural Res</w:t>
      </w:r>
      <w:r w:rsidR="00746C5A">
        <w:rPr>
          <w:rFonts w:ascii="Verdana" w:hAnsi="Verdana"/>
          <w:sz w:val="12"/>
          <w:lang w:val="en-GB"/>
        </w:rPr>
        <w:t>ources and Life Sciences (</w:t>
      </w:r>
      <w:r w:rsidRPr="00082B9D">
        <w:rPr>
          <w:rFonts w:ascii="Verdana" w:hAnsi="Verdana"/>
          <w:sz w:val="12"/>
          <w:lang w:val="en-GB"/>
        </w:rPr>
        <w:t>Austria).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489D" w14:textId="77777777" w:rsidR="001B519B" w:rsidRPr="001B519B" w:rsidRDefault="00BC53D4" w:rsidP="0090291E">
    <w:pPr>
      <w:pStyle w:val="Kopfzeile"/>
    </w:pPr>
    <w:r>
      <w:rPr>
        <w:rFonts w:ascii="Cambria" w:eastAsia="MS Mincho" w:hAnsi="Cambria"/>
        <w:b/>
        <w:noProof/>
        <w:color w:val="A20000"/>
        <w:sz w:val="28"/>
        <w:szCs w:val="12"/>
        <w:lang w:val="de-DE" w:eastAsia="de-DE"/>
      </w:rPr>
      <w:drawing>
        <wp:inline distT="0" distB="0" distL="0" distR="0" wp14:anchorId="6FFFA7C4" wp14:editId="3DD3F20E">
          <wp:extent cx="5905500" cy="1752600"/>
          <wp:effectExtent l="0" t="0" r="0" b="0"/>
          <wp:docPr id="2" name="Immagine 2" descr="baner_proba_es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_proba_es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E"/>
    <w:rsid w:val="0000135C"/>
    <w:rsid w:val="000027D2"/>
    <w:rsid w:val="00015409"/>
    <w:rsid w:val="0001586B"/>
    <w:rsid w:val="00054BB4"/>
    <w:rsid w:val="00063AC4"/>
    <w:rsid w:val="00073BA2"/>
    <w:rsid w:val="00082B9D"/>
    <w:rsid w:val="0009500B"/>
    <w:rsid w:val="00096714"/>
    <w:rsid w:val="000A201C"/>
    <w:rsid w:val="000C5094"/>
    <w:rsid w:val="000E3E47"/>
    <w:rsid w:val="000E74B8"/>
    <w:rsid w:val="000E78FC"/>
    <w:rsid w:val="000F0750"/>
    <w:rsid w:val="001678D0"/>
    <w:rsid w:val="0018139E"/>
    <w:rsid w:val="001A0BC2"/>
    <w:rsid w:val="001A40D4"/>
    <w:rsid w:val="001B27DE"/>
    <w:rsid w:val="001B519B"/>
    <w:rsid w:val="001D4C5F"/>
    <w:rsid w:val="001D4E9D"/>
    <w:rsid w:val="001F17B1"/>
    <w:rsid w:val="001F1E2E"/>
    <w:rsid w:val="001F70E5"/>
    <w:rsid w:val="0020461B"/>
    <w:rsid w:val="00240263"/>
    <w:rsid w:val="00240303"/>
    <w:rsid w:val="002427DF"/>
    <w:rsid w:val="00285D11"/>
    <w:rsid w:val="00292E30"/>
    <w:rsid w:val="00294212"/>
    <w:rsid w:val="002B4DB4"/>
    <w:rsid w:val="002C31D2"/>
    <w:rsid w:val="002D204E"/>
    <w:rsid w:val="00334B9F"/>
    <w:rsid w:val="0036051D"/>
    <w:rsid w:val="0036110E"/>
    <w:rsid w:val="00376DC2"/>
    <w:rsid w:val="00392A95"/>
    <w:rsid w:val="00396AEE"/>
    <w:rsid w:val="0039785E"/>
    <w:rsid w:val="003C024E"/>
    <w:rsid w:val="003D58C2"/>
    <w:rsid w:val="00405D42"/>
    <w:rsid w:val="004154D2"/>
    <w:rsid w:val="00420522"/>
    <w:rsid w:val="00431DE7"/>
    <w:rsid w:val="0043791D"/>
    <w:rsid w:val="0044565E"/>
    <w:rsid w:val="00473026"/>
    <w:rsid w:val="00494FC0"/>
    <w:rsid w:val="004B28B7"/>
    <w:rsid w:val="004B3006"/>
    <w:rsid w:val="004B3C5C"/>
    <w:rsid w:val="004C4D87"/>
    <w:rsid w:val="004E6263"/>
    <w:rsid w:val="00502D31"/>
    <w:rsid w:val="0050467A"/>
    <w:rsid w:val="00513039"/>
    <w:rsid w:val="00513493"/>
    <w:rsid w:val="00514837"/>
    <w:rsid w:val="005245F7"/>
    <w:rsid w:val="00534A84"/>
    <w:rsid w:val="00543B8B"/>
    <w:rsid w:val="005474F3"/>
    <w:rsid w:val="005538D2"/>
    <w:rsid w:val="00571F90"/>
    <w:rsid w:val="00590D70"/>
    <w:rsid w:val="005947B8"/>
    <w:rsid w:val="005957CE"/>
    <w:rsid w:val="005D19D6"/>
    <w:rsid w:val="005D64FA"/>
    <w:rsid w:val="005E052A"/>
    <w:rsid w:val="005E3DD5"/>
    <w:rsid w:val="0060572E"/>
    <w:rsid w:val="00610D5A"/>
    <w:rsid w:val="006243F7"/>
    <w:rsid w:val="00655938"/>
    <w:rsid w:val="00661D93"/>
    <w:rsid w:val="00695A69"/>
    <w:rsid w:val="00696D71"/>
    <w:rsid w:val="00697C25"/>
    <w:rsid w:val="006C572F"/>
    <w:rsid w:val="006C6977"/>
    <w:rsid w:val="006E0A88"/>
    <w:rsid w:val="006E5684"/>
    <w:rsid w:val="00732BF2"/>
    <w:rsid w:val="00746C5A"/>
    <w:rsid w:val="00773484"/>
    <w:rsid w:val="007B4FCE"/>
    <w:rsid w:val="007C3360"/>
    <w:rsid w:val="007D62C8"/>
    <w:rsid w:val="007E580B"/>
    <w:rsid w:val="007F2AF0"/>
    <w:rsid w:val="007F423C"/>
    <w:rsid w:val="0080030D"/>
    <w:rsid w:val="00805189"/>
    <w:rsid w:val="00807461"/>
    <w:rsid w:val="00817564"/>
    <w:rsid w:val="00826DE4"/>
    <w:rsid w:val="00843CA0"/>
    <w:rsid w:val="00850022"/>
    <w:rsid w:val="008636B9"/>
    <w:rsid w:val="008936A7"/>
    <w:rsid w:val="008A1275"/>
    <w:rsid w:val="008B0112"/>
    <w:rsid w:val="008B619F"/>
    <w:rsid w:val="008F0708"/>
    <w:rsid w:val="008F27C0"/>
    <w:rsid w:val="0090291E"/>
    <w:rsid w:val="00916AC9"/>
    <w:rsid w:val="0092059E"/>
    <w:rsid w:val="009229EA"/>
    <w:rsid w:val="0093296F"/>
    <w:rsid w:val="00945380"/>
    <w:rsid w:val="009477F3"/>
    <w:rsid w:val="00950BE6"/>
    <w:rsid w:val="00964D91"/>
    <w:rsid w:val="0098472B"/>
    <w:rsid w:val="009861E9"/>
    <w:rsid w:val="0098653C"/>
    <w:rsid w:val="00986907"/>
    <w:rsid w:val="00990126"/>
    <w:rsid w:val="009913B4"/>
    <w:rsid w:val="00993057"/>
    <w:rsid w:val="00993829"/>
    <w:rsid w:val="00994C1E"/>
    <w:rsid w:val="009A0E1D"/>
    <w:rsid w:val="009A7CDD"/>
    <w:rsid w:val="009C7E65"/>
    <w:rsid w:val="009E4870"/>
    <w:rsid w:val="009E5BB7"/>
    <w:rsid w:val="009F15B9"/>
    <w:rsid w:val="009F2084"/>
    <w:rsid w:val="009F49CA"/>
    <w:rsid w:val="00A2627C"/>
    <w:rsid w:val="00A57B1D"/>
    <w:rsid w:val="00A60178"/>
    <w:rsid w:val="00AA25A8"/>
    <w:rsid w:val="00AC45C9"/>
    <w:rsid w:val="00AD2835"/>
    <w:rsid w:val="00B038E4"/>
    <w:rsid w:val="00B40611"/>
    <w:rsid w:val="00B455BC"/>
    <w:rsid w:val="00B51306"/>
    <w:rsid w:val="00B60C25"/>
    <w:rsid w:val="00B7143A"/>
    <w:rsid w:val="00B83878"/>
    <w:rsid w:val="00B9276C"/>
    <w:rsid w:val="00BC53D4"/>
    <w:rsid w:val="00BC544F"/>
    <w:rsid w:val="00BD295C"/>
    <w:rsid w:val="00BD504B"/>
    <w:rsid w:val="00BF1433"/>
    <w:rsid w:val="00BF3817"/>
    <w:rsid w:val="00BF3FFE"/>
    <w:rsid w:val="00C03984"/>
    <w:rsid w:val="00C07EA3"/>
    <w:rsid w:val="00C13EBD"/>
    <w:rsid w:val="00C26FC1"/>
    <w:rsid w:val="00C60D91"/>
    <w:rsid w:val="00C62BFC"/>
    <w:rsid w:val="00C74394"/>
    <w:rsid w:val="00C979BE"/>
    <w:rsid w:val="00CA6D2D"/>
    <w:rsid w:val="00CC4BBE"/>
    <w:rsid w:val="00CD345E"/>
    <w:rsid w:val="00CD4669"/>
    <w:rsid w:val="00CD5A2F"/>
    <w:rsid w:val="00CF3141"/>
    <w:rsid w:val="00D22C54"/>
    <w:rsid w:val="00D23870"/>
    <w:rsid w:val="00D274A8"/>
    <w:rsid w:val="00D44E34"/>
    <w:rsid w:val="00D54350"/>
    <w:rsid w:val="00D61A41"/>
    <w:rsid w:val="00D61EAF"/>
    <w:rsid w:val="00D64BD6"/>
    <w:rsid w:val="00D72CB0"/>
    <w:rsid w:val="00D7446A"/>
    <w:rsid w:val="00D84417"/>
    <w:rsid w:val="00D911A2"/>
    <w:rsid w:val="00DB1E47"/>
    <w:rsid w:val="00DC3936"/>
    <w:rsid w:val="00DC3A39"/>
    <w:rsid w:val="00DC5144"/>
    <w:rsid w:val="00DC7501"/>
    <w:rsid w:val="00DC77E0"/>
    <w:rsid w:val="00DD3496"/>
    <w:rsid w:val="00DD3975"/>
    <w:rsid w:val="00E01504"/>
    <w:rsid w:val="00E23E5D"/>
    <w:rsid w:val="00E43217"/>
    <w:rsid w:val="00E55FA3"/>
    <w:rsid w:val="00E61C43"/>
    <w:rsid w:val="00E81AEF"/>
    <w:rsid w:val="00E85C8E"/>
    <w:rsid w:val="00E860C5"/>
    <w:rsid w:val="00E86ABD"/>
    <w:rsid w:val="00E86DDE"/>
    <w:rsid w:val="00E90BBF"/>
    <w:rsid w:val="00E95E05"/>
    <w:rsid w:val="00EA1A08"/>
    <w:rsid w:val="00EE1D95"/>
    <w:rsid w:val="00EF416E"/>
    <w:rsid w:val="00F16985"/>
    <w:rsid w:val="00F20CBB"/>
    <w:rsid w:val="00F2624B"/>
    <w:rsid w:val="00F27241"/>
    <w:rsid w:val="00F31BB1"/>
    <w:rsid w:val="00F445EB"/>
    <w:rsid w:val="00F47991"/>
    <w:rsid w:val="00F562B7"/>
    <w:rsid w:val="00F67883"/>
    <w:rsid w:val="00FA5E38"/>
    <w:rsid w:val="00FD4A0A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A6D20"/>
  <w15:docId w15:val="{DC220340-E160-4B55-9F82-5BC0567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berschrift1">
    <w:name w:val="heading 1"/>
    <w:aliases w:val="heading2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pPr>
      <w:keepNext/>
      <w:spacing w:line="200" w:lineRule="atLeast"/>
      <w:jc w:val="both"/>
      <w:outlineLvl w:val="3"/>
    </w:pPr>
    <w:rPr>
      <w:rFonts w:ascii="Verdana" w:hAnsi="Verdana"/>
      <w:b/>
      <w:sz w:val="1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pPr>
      <w:jc w:val="center"/>
    </w:pPr>
    <w:rPr>
      <w:rFonts w:ascii="Verdana" w:hAnsi="Verdana"/>
      <w:b w:val="0"/>
      <w:bCs w:val="0"/>
      <w:sz w:val="40"/>
    </w:rPr>
  </w:style>
  <w:style w:type="paragraph" w:customStyle="1" w:styleId="Authors">
    <w:name w:val="Authors"/>
    <w:basedOn w:val="Standard"/>
    <w:pPr>
      <w:keepNext/>
      <w:jc w:val="center"/>
      <w:outlineLvl w:val="1"/>
    </w:pPr>
    <w:rPr>
      <w:rFonts w:ascii="Verdana" w:hAnsi="Verdana"/>
    </w:rPr>
  </w:style>
  <w:style w:type="paragraph" w:customStyle="1" w:styleId="abstract">
    <w:name w:val="abstract"/>
    <w:basedOn w:val="berschrift4"/>
  </w:style>
  <w:style w:type="paragraph" w:customStyle="1" w:styleId="Normaltext">
    <w:name w:val="Normal text"/>
    <w:basedOn w:val="Standard"/>
    <w:pPr>
      <w:spacing w:line="220" w:lineRule="atLeast"/>
      <w:jc w:val="both"/>
    </w:pPr>
    <w:rPr>
      <w:rFonts w:ascii="Verdana" w:hAnsi="Verdana"/>
      <w:sz w:val="16"/>
      <w:lang w:val="en-GB"/>
    </w:rPr>
  </w:style>
  <w:style w:type="paragraph" w:customStyle="1" w:styleId="berschrift11">
    <w:name w:val="Überschrift 11"/>
    <w:basedOn w:val="berschrift1"/>
    <w:pPr>
      <w:spacing w:after="40" w:line="220" w:lineRule="atLeast"/>
      <w:jc w:val="center"/>
    </w:pPr>
    <w:rPr>
      <w:rFonts w:ascii="Verdana" w:hAnsi="Verdana"/>
      <w:b w:val="0"/>
      <w:bCs w:val="0"/>
      <w:smallCaps/>
      <w:sz w:val="18"/>
      <w:lang w:val="en-GB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otnote">
    <w:name w:val="Foot note"/>
    <w:basedOn w:val="Funotentext"/>
    <w:pPr>
      <w:tabs>
        <w:tab w:val="left" w:pos="240"/>
      </w:tabs>
      <w:spacing w:line="160" w:lineRule="atLeast"/>
    </w:pPr>
    <w:rPr>
      <w:rFonts w:ascii="Verdana" w:hAnsi="Verdana"/>
      <w:sz w:val="1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220" w:lineRule="atLeast"/>
    </w:pPr>
    <w:rPr>
      <w:rFonts w:ascii="Verdana" w:hAnsi="Verdana"/>
      <w:sz w:val="16"/>
      <w:lang w:val="en-GB"/>
    </w:rPr>
  </w:style>
  <w:style w:type="paragraph" w:customStyle="1" w:styleId="Firstheading">
    <w:name w:val="First heading"/>
    <w:basedOn w:val="Standard"/>
    <w:pPr>
      <w:jc w:val="center"/>
    </w:pPr>
    <w:rPr>
      <w:rFonts w:ascii="Verdana" w:hAnsi="Verdana"/>
      <w:smallCaps/>
      <w:sz w:val="20"/>
      <w:lang w:val="en-US"/>
    </w:rPr>
  </w:style>
  <w:style w:type="paragraph" w:customStyle="1" w:styleId="Table">
    <w:name w:val="Table"/>
    <w:basedOn w:val="Normaltext"/>
    <w:pPr>
      <w:tabs>
        <w:tab w:val="left" w:pos="240"/>
      </w:tabs>
    </w:pPr>
    <w:rPr>
      <w:sz w:val="14"/>
    </w:rPr>
  </w:style>
  <w:style w:type="paragraph" w:styleId="Fuzeile">
    <w:name w:val="footer"/>
    <w:basedOn w:val="Standard"/>
    <w:rsid w:val="00CD5A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A2F"/>
  </w:style>
  <w:style w:type="paragraph" w:styleId="Kopfzeile">
    <w:name w:val="header"/>
    <w:basedOn w:val="Standard"/>
    <w:link w:val="KopfzeileZchn"/>
    <w:uiPriority w:val="99"/>
    <w:rsid w:val="00CD5A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572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427DF"/>
    <w:rPr>
      <w:sz w:val="16"/>
      <w:szCs w:val="16"/>
    </w:rPr>
  </w:style>
  <w:style w:type="paragraph" w:styleId="Kommentartext">
    <w:name w:val="annotation text"/>
    <w:basedOn w:val="Standard"/>
    <w:semiHidden/>
    <w:rsid w:val="00242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427DF"/>
    <w:rPr>
      <w:b/>
      <w:bCs/>
    </w:rPr>
  </w:style>
  <w:style w:type="table" w:styleId="Tabellenraster">
    <w:name w:val="Table Grid"/>
    <w:basedOn w:val="NormaleTabelle"/>
    <w:uiPriority w:val="59"/>
    <w:rsid w:val="001B519B"/>
    <w:rPr>
      <w:rFonts w:ascii="Cambria" w:eastAsia="MS Mincho" w:hAnsi="Cambr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B519B"/>
    <w:rPr>
      <w:rFonts w:ascii="Garamond" w:hAnsi="Garamond"/>
      <w:sz w:val="24"/>
      <w:szCs w:val="24"/>
      <w:lang w:val="da-DK" w:eastAsia="da-DK"/>
    </w:rPr>
  </w:style>
  <w:style w:type="character" w:styleId="BesuchterLink">
    <w:name w:val="FollowedHyperlink"/>
    <w:basedOn w:val="Absatz-Standardschriftart"/>
    <w:rsid w:val="00571F90"/>
    <w:rPr>
      <w:color w:val="800080" w:themeColor="followedHyperlink"/>
      <w:u w:val="single"/>
    </w:rPr>
  </w:style>
  <w:style w:type="character" w:customStyle="1" w:styleId="Menzione1">
    <w:name w:val="Menzione1"/>
    <w:basedOn w:val="Absatz-Standardschriftart"/>
    <w:uiPriority w:val="99"/>
    <w:semiHidden/>
    <w:unhideWhenUsed/>
    <w:rsid w:val="00DC77E0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EE1D95"/>
    <w:rPr>
      <w:rFonts w:ascii="Garamond" w:hAnsi="Garamond"/>
      <w:sz w:val="24"/>
      <w:szCs w:val="24"/>
      <w:lang w:val="da-DK" w:eastAsia="da-DK"/>
    </w:rPr>
  </w:style>
  <w:style w:type="paragraph" w:customStyle="1" w:styleId="Body">
    <w:name w:val="Body"/>
    <w:qFormat/>
    <w:rsid w:val="00590D70"/>
    <w:pPr>
      <w:spacing w:after="200" w:line="312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secco@unip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ie\AppData\Local\Packages\Microsoft.MicrosoftEdge_8wekyb3d8bbwe\TempState\Downloads\Figura%20Short%20Pap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'[Figura Short Paper.xlsx]Foglio1'!$B$3:$B$6</c:f>
              <c:strCache>
                <c:ptCount val="4"/>
                <c:pt idx="0">
                  <c:v>ex ante</c:v>
                </c:pt>
                <c:pt idx="1">
                  <c:v>in itinere</c:v>
                </c:pt>
                <c:pt idx="2">
                  <c:v>ex post</c:v>
                </c:pt>
                <c:pt idx="3">
                  <c:v>not specified </c:v>
                </c:pt>
              </c:strCache>
            </c:strRef>
          </c:cat>
          <c:val>
            <c:numRef>
              <c:f>'[Figura Short Paper.xlsx]Foglio1'!$C$3:$C$6</c:f>
              <c:numCache>
                <c:formatCode>General</c:formatCode>
                <c:ptCount val="4"/>
                <c:pt idx="0">
                  <c:v>16.5</c:v>
                </c:pt>
                <c:pt idx="1">
                  <c:v>22.3</c:v>
                </c:pt>
                <c:pt idx="2">
                  <c:v>30.1</c:v>
                </c:pt>
                <c:pt idx="3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B-4D9A-B7CC-C55FF865A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338216"/>
        <c:axId val="-2117918376"/>
      </c:barChart>
      <c:catAx>
        <c:axId val="2129338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Verdana" panose="020B0604030504040204" pitchFamily="34" charset="0"/>
              </a:defRPr>
            </a:pPr>
            <a:endParaRPr lang="de-DE"/>
          </a:p>
        </c:txPr>
        <c:crossAx val="-2117918376"/>
        <c:crosses val="autoZero"/>
        <c:auto val="1"/>
        <c:lblAlgn val="ctr"/>
        <c:lblOffset val="100"/>
        <c:noMultiLvlLbl val="0"/>
      </c:catAx>
      <c:valAx>
        <c:axId val="-2117918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de-DE"/>
          </a:p>
        </c:txPr>
        <c:crossAx val="2129338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321A-DC00-4BE4-B7DD-1FD4796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7293</Characters>
  <Application>Microsoft Office Word</Application>
  <DocSecurity>0</DocSecurity>
  <Lines>60</Lines>
  <Paragraphs>16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Preparation and submission of extended ab-stracts for the Joint Organic Congress 2006</vt:lpstr>
      <vt:lpstr>Preparation and submission of extended ab-stracts for the Joint Organic Congress 2006</vt:lpstr>
      <vt:lpstr>Preparation and submission of extended ab-stracts for the Joint Organic Congress 2006</vt:lpstr>
      <vt:lpstr>Preparation and submission of extended ab-stracts for the Joint Organic Congress 2006</vt:lpstr>
    </vt:vector>
  </TitlesOfParts>
  <Company>DJF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and submission of extended ab-stracts for the Joint Organic Congress 2006</dc:title>
  <dc:creator>lel</dc:creator>
  <cp:lastModifiedBy>von Münchhausen, Susanne</cp:lastModifiedBy>
  <cp:revision>2</cp:revision>
  <cp:lastPrinted>2010-01-26T12:47:00Z</cp:lastPrinted>
  <dcterms:created xsi:type="dcterms:W3CDTF">2017-06-15T10:59:00Z</dcterms:created>
  <dcterms:modified xsi:type="dcterms:W3CDTF">2017-06-15T10:59:00Z</dcterms:modified>
</cp:coreProperties>
</file>